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60" w:rsidRPr="00801460" w:rsidRDefault="00801460" w:rsidP="00801460">
      <w:pPr>
        <w:spacing w:before="240" w:after="360" w:line="343" w:lineRule="atLeast"/>
        <w:outlineLvl w:val="0"/>
        <w:rPr>
          <w:rFonts w:ascii="Times New Roman" w:eastAsia="Times New Roman" w:hAnsi="Times New Roman" w:cs="Times New Roman"/>
          <w:color w:val="545351"/>
          <w:kern w:val="36"/>
          <w:sz w:val="33"/>
          <w:szCs w:val="33"/>
        </w:rPr>
      </w:pPr>
      <w:r w:rsidRPr="00801460">
        <w:rPr>
          <w:rFonts w:ascii="Times New Roman" w:eastAsia="Times New Roman" w:hAnsi="Times New Roman" w:cs="Times New Roman"/>
          <w:color w:val="545351"/>
          <w:kern w:val="36"/>
          <w:sz w:val="33"/>
          <w:szCs w:val="33"/>
        </w:rPr>
        <w:t>Fragment Sizing</w:t>
      </w:r>
    </w:p>
    <w:tbl>
      <w:tblPr>
        <w:tblW w:w="8415"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8415"/>
      </w:tblGrid>
      <w:tr w:rsidR="00801460" w:rsidRPr="00801460" w:rsidTr="00801460">
        <w:trPr>
          <w:trHeight w:val="105"/>
          <w:jc w:val="center"/>
        </w:trPr>
        <w:tc>
          <w:tcPr>
            <w:tcW w:w="5000" w:type="pct"/>
            <w:tcBorders>
              <w:top w:val="outset" w:sz="6" w:space="0" w:color="FFFFFF"/>
              <w:left w:val="outset" w:sz="6" w:space="0" w:color="FFFFFF"/>
              <w:bottom w:val="outset" w:sz="6" w:space="0" w:color="FFFFFF"/>
              <w:right w:val="outset" w:sz="6" w:space="0" w:color="FFFFFF"/>
            </w:tcBorders>
            <w:shd w:val="clear" w:color="auto" w:fill="FFFFFF"/>
            <w:tcMar>
              <w:top w:w="135" w:type="dxa"/>
              <w:left w:w="135" w:type="dxa"/>
              <w:bottom w:w="135" w:type="dxa"/>
              <w:right w:w="135" w:type="dxa"/>
            </w:tcMar>
            <w:hideMark/>
          </w:tcPr>
          <w:p w:rsidR="00801460" w:rsidRPr="00801460" w:rsidRDefault="00801460" w:rsidP="0080146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hyperlink r:id="rId6" w:anchor="Intro" w:tooltip="Introduction" w:history="1">
              <w:r w:rsidRPr="00801460">
                <w:rPr>
                  <w:rFonts w:ascii="Helvetica" w:eastAsia="Times New Roman" w:hAnsi="Helvetica" w:cs="Helvetica"/>
                  <w:b/>
                  <w:bCs/>
                  <w:i/>
                  <w:iCs/>
                  <w:color w:val="545351"/>
                  <w:sz w:val="18"/>
                  <w:szCs w:val="18"/>
                  <w:u w:val="single"/>
                </w:rPr>
                <w:t>Introduction</w:t>
              </w:r>
            </w:hyperlink>
          </w:p>
          <w:p w:rsidR="00801460" w:rsidRPr="00801460" w:rsidRDefault="00801460" w:rsidP="0080146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hyperlink r:id="rId7" w:anchor="Micr" w:tooltip="Microsatellites" w:history="1">
              <w:r w:rsidRPr="00801460">
                <w:rPr>
                  <w:rFonts w:ascii="Helvetica" w:eastAsia="Times New Roman" w:hAnsi="Helvetica" w:cs="Helvetica"/>
                  <w:b/>
                  <w:bCs/>
                  <w:i/>
                  <w:iCs/>
                  <w:color w:val="545351"/>
                  <w:sz w:val="18"/>
                  <w:szCs w:val="18"/>
                  <w:u w:val="single"/>
                </w:rPr>
                <w:t>Microsatellites</w:t>
              </w:r>
            </w:hyperlink>
          </w:p>
          <w:p w:rsidR="00801460" w:rsidRPr="00801460" w:rsidRDefault="00801460" w:rsidP="0080146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hyperlink r:id="rId8" w:anchor="Lh" w:tooltip="Lenght Heterogeneity PCR" w:history="1">
              <w:r w:rsidRPr="00801460">
                <w:rPr>
                  <w:rFonts w:ascii="Helvetica" w:eastAsia="Times New Roman" w:hAnsi="Helvetica" w:cs="Helvetica"/>
                  <w:b/>
                  <w:bCs/>
                  <w:i/>
                  <w:iCs/>
                  <w:color w:val="545351"/>
                  <w:sz w:val="18"/>
                  <w:szCs w:val="18"/>
                  <w:u w:val="single"/>
                </w:rPr>
                <w:t>LH-PCR</w:t>
              </w:r>
            </w:hyperlink>
          </w:p>
          <w:p w:rsidR="00801460" w:rsidRPr="00801460" w:rsidRDefault="00801460" w:rsidP="0080146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hyperlink r:id="rId9" w:anchor="Af" w:tooltip="Amplified Fragment Length Polymorphisms" w:history="1">
              <w:r w:rsidRPr="00801460">
                <w:rPr>
                  <w:rFonts w:ascii="Helvetica" w:eastAsia="Times New Roman" w:hAnsi="Helvetica" w:cs="Helvetica"/>
                  <w:b/>
                  <w:bCs/>
                  <w:i/>
                  <w:iCs/>
                  <w:color w:val="545351"/>
                  <w:sz w:val="18"/>
                  <w:szCs w:val="18"/>
                  <w:u w:val="single"/>
                </w:rPr>
                <w:t>AFLPs</w:t>
              </w:r>
            </w:hyperlink>
          </w:p>
          <w:p w:rsidR="00801460" w:rsidRPr="00801460" w:rsidRDefault="00801460" w:rsidP="0080146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hyperlink r:id="rId10" w:anchor="TR" w:tooltip="Terminal Restriction Fragment Length Polymorphisms" w:history="1">
              <w:r w:rsidRPr="00801460">
                <w:rPr>
                  <w:rFonts w:ascii="Helvetica" w:eastAsia="Times New Roman" w:hAnsi="Helvetica" w:cs="Helvetica"/>
                  <w:b/>
                  <w:bCs/>
                  <w:i/>
                  <w:iCs/>
                  <w:color w:val="545351"/>
                  <w:sz w:val="18"/>
                  <w:szCs w:val="18"/>
                  <w:u w:val="single"/>
                </w:rPr>
                <w:t>T-RFLPs</w:t>
              </w:r>
            </w:hyperlink>
          </w:p>
          <w:p w:rsidR="00801460" w:rsidRPr="00801460" w:rsidRDefault="00801460" w:rsidP="00801460">
            <w:pPr>
              <w:numPr>
                <w:ilvl w:val="0"/>
                <w:numId w:val="1"/>
              </w:numPr>
              <w:spacing w:before="100" w:beforeAutospacing="1" w:after="100" w:afterAutospacing="1" w:line="105" w:lineRule="atLeast"/>
              <w:ind w:left="0"/>
              <w:rPr>
                <w:rFonts w:ascii="Times New Roman" w:eastAsia="Times New Roman" w:hAnsi="Times New Roman" w:cs="Times New Roman"/>
                <w:sz w:val="18"/>
                <w:szCs w:val="18"/>
              </w:rPr>
            </w:pPr>
            <w:hyperlink r:id="rId11" w:anchor="gen" w:tooltip="Genotyping and Scoring" w:history="1">
              <w:r w:rsidRPr="00801460">
                <w:rPr>
                  <w:rFonts w:ascii="Helvetica" w:eastAsia="Times New Roman" w:hAnsi="Helvetica" w:cs="Helvetica"/>
                  <w:b/>
                  <w:bCs/>
                  <w:i/>
                  <w:iCs/>
                  <w:color w:val="545351"/>
                  <w:sz w:val="18"/>
                  <w:szCs w:val="18"/>
                  <w:u w:val="single"/>
                </w:rPr>
                <w:t>Genotyping and Scoring</w:t>
              </w:r>
            </w:hyperlink>
          </w:p>
        </w:tc>
      </w:tr>
    </w:tbl>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000000"/>
          <w:sz w:val="18"/>
          <w:szCs w:val="18"/>
        </w:rPr>
        <w:t>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bookmarkStart w:id="0" w:name="Intro"/>
      <w:bookmarkEnd w:id="0"/>
      <w:r w:rsidRPr="00801460">
        <w:rPr>
          <w:rFonts w:ascii="Arial" w:eastAsia="Times New Roman" w:hAnsi="Arial" w:cs="Arial"/>
          <w:b/>
          <w:bCs/>
          <w:color w:val="333333"/>
          <w:sz w:val="18"/>
          <w:szCs w:val="18"/>
        </w:rPr>
        <w:t>Introduction</w:t>
      </w:r>
      <w:r w:rsidRPr="00801460">
        <w:rPr>
          <w:rFonts w:ascii="Arial" w:eastAsia="Times New Roman" w:hAnsi="Arial" w:cs="Arial"/>
          <w:color w:val="333333"/>
          <w:sz w:val="18"/>
          <w:szCs w:val="18"/>
        </w:rPr>
        <w:t>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proofErr w:type="spellStart"/>
      <w:r w:rsidRPr="00801460">
        <w:rPr>
          <w:rFonts w:ascii="Arial" w:eastAsia="Times New Roman" w:hAnsi="Arial" w:cs="Arial"/>
          <w:color w:val="333333"/>
          <w:sz w:val="18"/>
          <w:szCs w:val="18"/>
        </w:rPr>
        <w:t>Labelled</w:t>
      </w:r>
      <w:proofErr w:type="spellEnd"/>
      <w:r w:rsidRPr="00801460">
        <w:rPr>
          <w:rFonts w:ascii="Arial" w:eastAsia="Times New Roman" w:hAnsi="Arial" w:cs="Arial"/>
          <w:color w:val="333333"/>
          <w:sz w:val="18"/>
          <w:szCs w:val="18"/>
        </w:rPr>
        <w:t xml:space="preserve"> fragment analysis covers a broad category of genetic research, but each is based upon the same principle of analyzing varied length polymorphisms. The basic principle involves the labeling of a DNA fragment with dye markers (traditionally labeled by radioactive tags) during PCR followed </w:t>
      </w:r>
      <w:proofErr w:type="spellStart"/>
      <w:r w:rsidRPr="00801460">
        <w:rPr>
          <w:rFonts w:ascii="Arial" w:eastAsia="Times New Roman" w:hAnsi="Arial" w:cs="Arial"/>
          <w:color w:val="333333"/>
          <w:sz w:val="18"/>
          <w:szCs w:val="18"/>
        </w:rPr>
        <w:t>byelectrophoresis</w:t>
      </w:r>
      <w:proofErr w:type="spellEnd"/>
      <w:r w:rsidRPr="00801460">
        <w:rPr>
          <w:rFonts w:ascii="Arial" w:eastAsia="Times New Roman" w:hAnsi="Arial" w:cs="Arial"/>
          <w:color w:val="333333"/>
          <w:sz w:val="18"/>
          <w:szCs w:val="18"/>
        </w:rPr>
        <w:t xml:space="preserve">, fluorescence reporting, and size estimation using labeled standards. The CEQ8000 has a laser that excites the dye label to fluoresce just as the varied length </w:t>
      </w:r>
      <w:proofErr w:type="spellStart"/>
      <w:r w:rsidRPr="00801460">
        <w:rPr>
          <w:rFonts w:ascii="Arial" w:eastAsia="Times New Roman" w:hAnsi="Arial" w:cs="Arial"/>
          <w:color w:val="333333"/>
          <w:sz w:val="18"/>
          <w:szCs w:val="18"/>
        </w:rPr>
        <w:t>amplicons</w:t>
      </w:r>
      <w:proofErr w:type="spellEnd"/>
      <w:r w:rsidRPr="00801460">
        <w:rPr>
          <w:rFonts w:ascii="Arial" w:eastAsia="Times New Roman" w:hAnsi="Arial" w:cs="Arial"/>
          <w:color w:val="333333"/>
          <w:sz w:val="18"/>
          <w:szCs w:val="18"/>
        </w:rPr>
        <w:t xml:space="preserve"> </w:t>
      </w:r>
      <w:proofErr w:type="spellStart"/>
      <w:r w:rsidRPr="00801460">
        <w:rPr>
          <w:rFonts w:ascii="Arial" w:eastAsia="Times New Roman" w:hAnsi="Arial" w:cs="Arial"/>
          <w:color w:val="333333"/>
          <w:sz w:val="18"/>
          <w:szCs w:val="18"/>
        </w:rPr>
        <w:t>electrophoretically</w:t>
      </w:r>
      <w:proofErr w:type="spellEnd"/>
      <w:r w:rsidRPr="00801460">
        <w:rPr>
          <w:rFonts w:ascii="Arial" w:eastAsia="Times New Roman" w:hAnsi="Arial" w:cs="Arial"/>
          <w:color w:val="333333"/>
          <w:sz w:val="18"/>
          <w:szCs w:val="18"/>
        </w:rPr>
        <w:t xml:space="preserve"> pass through a capillary detection window at rates proportional to their size.</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bookmarkStart w:id="1" w:name="Micr"/>
      <w:bookmarkEnd w:id="1"/>
      <w:r w:rsidRPr="00801460">
        <w:rPr>
          <w:rFonts w:ascii="Arial" w:eastAsia="Times New Roman" w:hAnsi="Arial" w:cs="Arial"/>
          <w:b/>
          <w:bCs/>
          <w:color w:val="333333"/>
          <w:sz w:val="18"/>
          <w:szCs w:val="18"/>
        </w:rPr>
        <w:t>Microsatellites</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Microsatellite (or 'Short Tandem Repeat' [STR], 'Simple Sequence Repeats' [SSR], 'Sequence Tagged Sites' [STS]) loci are a powerful method for research of </w:t>
      </w:r>
      <w:proofErr w:type="spellStart"/>
      <w:r w:rsidRPr="00801460">
        <w:rPr>
          <w:rFonts w:ascii="Arial" w:eastAsia="Times New Roman" w:hAnsi="Arial" w:cs="Arial"/>
          <w:color w:val="333333"/>
          <w:sz w:val="18"/>
          <w:szCs w:val="18"/>
        </w:rPr>
        <w:t>Mendelian</w:t>
      </w:r>
      <w:proofErr w:type="spellEnd"/>
      <w:r w:rsidRPr="00801460">
        <w:rPr>
          <w:rFonts w:ascii="Arial" w:eastAsia="Times New Roman" w:hAnsi="Arial" w:cs="Arial"/>
          <w:color w:val="333333"/>
          <w:sz w:val="18"/>
          <w:szCs w:val="18"/>
        </w:rPr>
        <w:t xml:space="preserve"> markers. Microsatellites are found in all prokaryotic and eukaryotic genomes and</w:t>
      </w:r>
      <w:proofErr w:type="gramStart"/>
      <w:r w:rsidRPr="00801460">
        <w:rPr>
          <w:rFonts w:ascii="Arial" w:eastAsia="Times New Roman" w:hAnsi="Arial" w:cs="Arial"/>
          <w:color w:val="333333"/>
          <w:sz w:val="18"/>
          <w:szCs w:val="18"/>
        </w:rPr>
        <w:t>  are</w:t>
      </w:r>
      <w:proofErr w:type="gramEnd"/>
      <w:r w:rsidRPr="00801460">
        <w:rPr>
          <w:rFonts w:ascii="Arial" w:eastAsia="Times New Roman" w:hAnsi="Arial" w:cs="Arial"/>
          <w:color w:val="333333"/>
          <w:sz w:val="18"/>
          <w:szCs w:val="18"/>
        </w:rPr>
        <w:t xml:space="preserve"> defined as </w:t>
      </w:r>
      <w:proofErr w:type="spellStart"/>
      <w:r w:rsidRPr="00801460">
        <w:rPr>
          <w:rFonts w:ascii="Arial" w:eastAsia="Times New Roman" w:hAnsi="Arial" w:cs="Arial"/>
          <w:color w:val="333333"/>
          <w:sz w:val="18"/>
          <w:szCs w:val="18"/>
        </w:rPr>
        <w:t>tandemly</w:t>
      </w:r>
      <w:proofErr w:type="spellEnd"/>
      <w:r w:rsidRPr="00801460">
        <w:rPr>
          <w:rFonts w:ascii="Arial" w:eastAsia="Times New Roman" w:hAnsi="Arial" w:cs="Arial"/>
          <w:color w:val="333333"/>
          <w:sz w:val="18"/>
          <w:szCs w:val="18"/>
        </w:rPr>
        <w:t xml:space="preserve"> repeated motifs of  1-6 bases (usually di-, tri-, or </w:t>
      </w:r>
      <w:proofErr w:type="spellStart"/>
      <w:r w:rsidRPr="00801460">
        <w:rPr>
          <w:rFonts w:ascii="Arial" w:eastAsia="Times New Roman" w:hAnsi="Arial" w:cs="Arial"/>
          <w:color w:val="333333"/>
          <w:sz w:val="18"/>
          <w:szCs w:val="18"/>
        </w:rPr>
        <w:t>tetranucleotide</w:t>
      </w:r>
      <w:proofErr w:type="spellEnd"/>
      <w:r w:rsidRPr="00801460">
        <w:rPr>
          <w:rFonts w:ascii="Arial" w:eastAsia="Times New Roman" w:hAnsi="Arial" w:cs="Arial"/>
          <w:color w:val="333333"/>
          <w:sz w:val="18"/>
          <w:szCs w:val="18"/>
        </w:rPr>
        <w:t xml:space="preserve">). In eukaryotes they are generally identified in large blocks of non-coding segments of the </w:t>
      </w:r>
      <w:proofErr w:type="spellStart"/>
      <w:r w:rsidRPr="00801460">
        <w:rPr>
          <w:rFonts w:ascii="Arial" w:eastAsia="Times New Roman" w:hAnsi="Arial" w:cs="Arial"/>
          <w:color w:val="333333"/>
          <w:sz w:val="18"/>
          <w:szCs w:val="18"/>
        </w:rPr>
        <w:t>heterochrotic</w:t>
      </w:r>
      <w:proofErr w:type="spellEnd"/>
      <w:r w:rsidRPr="00801460">
        <w:rPr>
          <w:rFonts w:ascii="Arial" w:eastAsia="Times New Roman" w:hAnsi="Arial" w:cs="Arial"/>
          <w:color w:val="333333"/>
          <w:sz w:val="18"/>
          <w:szCs w:val="18"/>
        </w:rPr>
        <w:t xml:space="preserve"> region, which is concentrated towards the centromere and differentiated from the </w:t>
      </w:r>
      <w:proofErr w:type="spellStart"/>
      <w:r w:rsidRPr="00801460">
        <w:rPr>
          <w:rFonts w:ascii="Arial" w:eastAsia="Times New Roman" w:hAnsi="Arial" w:cs="Arial"/>
          <w:color w:val="333333"/>
          <w:sz w:val="18"/>
          <w:szCs w:val="18"/>
        </w:rPr>
        <w:t>euchromatic</w:t>
      </w:r>
      <w:proofErr w:type="spellEnd"/>
      <w:r w:rsidRPr="00801460">
        <w:rPr>
          <w:rFonts w:ascii="Arial" w:eastAsia="Times New Roman" w:hAnsi="Arial" w:cs="Arial"/>
          <w:color w:val="333333"/>
          <w:sz w:val="18"/>
          <w:szCs w:val="18"/>
        </w:rPr>
        <w:t xml:space="preserve"> regions away from the centromere.</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000000"/>
          <w:sz w:val="18"/>
          <w:szCs w:val="18"/>
        </w:rPr>
        <w:t>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If you are starting out with an organism were microsatellite primers have yet to be developed, there are several approaches design and target effective primers. The simplest approach is to test primers that have been targeted and amplified in a related species. Genomes are often conserved even among very distant relatives, so it isn't surprising when microsatellite primers work for different species that separated 470 million years ago (Zane et al. 2002). More involved methods for microsatellite isolation involves fragmenting of the DNA, either by restriction enzymes or sonication, ligation of these fragments to a known sequence, vector, or an adaptor, and followed by the identification and recovery of microsatellite containing sequences by hybridizing labeled repeat sequence probes. I direct the reader to Zane et al. (2002) who provides a comprehensive review of the various methods and Hamilton et al. (1999) for a specific example.</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000000"/>
          <w:sz w:val="18"/>
          <w:szCs w:val="18"/>
        </w:rPr>
        <w:t>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The non-coding nature of microsatellites permits non-lethal mutations to occur at a higher rate than protein coding or signal regulatory sections of the genome. This does not mean, however, that microsatellites are selectively neutral. </w:t>
      </w:r>
      <w:proofErr w:type="gramStart"/>
      <w:r w:rsidRPr="00801460">
        <w:rPr>
          <w:rFonts w:ascii="Arial" w:eastAsia="Times New Roman" w:hAnsi="Arial" w:cs="Arial"/>
          <w:color w:val="333333"/>
          <w:sz w:val="18"/>
          <w:szCs w:val="18"/>
        </w:rPr>
        <w:t>Robust statistical tests of the relative frequency of variants is</w:t>
      </w:r>
      <w:proofErr w:type="gramEnd"/>
      <w:r w:rsidRPr="00801460">
        <w:rPr>
          <w:rFonts w:ascii="Arial" w:eastAsia="Times New Roman" w:hAnsi="Arial" w:cs="Arial"/>
          <w:color w:val="333333"/>
          <w:sz w:val="18"/>
          <w:szCs w:val="18"/>
        </w:rPr>
        <w:t xml:space="preserve"> required to reject neutrality and can be performed in such programs as </w:t>
      </w:r>
      <w:proofErr w:type="spellStart"/>
      <w:r w:rsidRPr="00801460">
        <w:rPr>
          <w:rFonts w:ascii="Arial" w:eastAsia="Times New Roman" w:hAnsi="Arial" w:cs="Arial"/>
          <w:color w:val="333333"/>
          <w:sz w:val="18"/>
          <w:szCs w:val="18"/>
        </w:rPr>
        <w:fldChar w:fldCharType="begin"/>
      </w:r>
      <w:r w:rsidRPr="00801460">
        <w:rPr>
          <w:rFonts w:ascii="Arial" w:eastAsia="Times New Roman" w:hAnsi="Arial" w:cs="Arial"/>
          <w:color w:val="333333"/>
          <w:sz w:val="18"/>
          <w:szCs w:val="18"/>
        </w:rPr>
        <w:instrText xml:space="preserve"> HYPERLINK "https://drupal.unbc.ca/genetics/links/index.html" \l "gene" \o "Genetic analysis software" \t "_self" </w:instrText>
      </w:r>
      <w:r w:rsidRPr="00801460">
        <w:rPr>
          <w:rFonts w:ascii="Arial" w:eastAsia="Times New Roman" w:hAnsi="Arial" w:cs="Arial"/>
          <w:color w:val="333333"/>
          <w:sz w:val="18"/>
          <w:szCs w:val="18"/>
        </w:rPr>
        <w:fldChar w:fldCharType="separate"/>
      </w:r>
      <w:r w:rsidRPr="00801460">
        <w:rPr>
          <w:rFonts w:ascii="Helvetica" w:eastAsia="Times New Roman" w:hAnsi="Helvetica" w:cs="Helvetica"/>
          <w:b/>
          <w:bCs/>
          <w:i/>
          <w:iCs/>
          <w:color w:val="545351"/>
          <w:sz w:val="18"/>
          <w:szCs w:val="18"/>
          <w:u w:val="single"/>
        </w:rPr>
        <w:t>Arlequin</w:t>
      </w:r>
      <w:proofErr w:type="spellEnd"/>
      <w:r w:rsidRPr="00801460">
        <w:rPr>
          <w:rFonts w:ascii="Arial" w:eastAsia="Times New Roman" w:hAnsi="Arial" w:cs="Arial"/>
          <w:color w:val="333333"/>
          <w:sz w:val="18"/>
          <w:szCs w:val="18"/>
        </w:rPr>
        <w:fldChar w:fldCharType="end"/>
      </w:r>
      <w:hyperlink r:id="rId12" w:anchor="gene" w:tgtFrame="_self" w:tooltip="Genetic analysis software" w:history="1">
        <w:r w:rsidRPr="00801460">
          <w:rPr>
            <w:rFonts w:ascii="Helvetica" w:eastAsia="Times New Roman" w:hAnsi="Helvetica" w:cs="Helvetica"/>
            <w:b/>
            <w:bCs/>
            <w:i/>
            <w:iCs/>
            <w:color w:val="545351"/>
            <w:sz w:val="18"/>
            <w:szCs w:val="18"/>
            <w:u w:val="single"/>
          </w:rPr>
          <w:t> or MEGA3</w:t>
        </w:r>
      </w:hyperlink>
      <w:r w:rsidRPr="00801460">
        <w:rPr>
          <w:rFonts w:ascii="Arial" w:eastAsia="Times New Roman" w:hAnsi="Arial" w:cs="Arial"/>
          <w:color w:val="333333"/>
          <w:sz w:val="18"/>
          <w:szCs w:val="18"/>
        </w:rPr>
        <w:t>. Depending on the type of analysis you are interested in there are many programs and methods to select from. Visit our links page where you can find links to </w:t>
      </w:r>
      <w:hyperlink r:id="rId13" w:anchor="analysis" w:tgtFrame="_blank" w:tooltip="Phylogenetic and Population Genetic Analysis Software" w:history="1">
        <w:r w:rsidRPr="00801460">
          <w:rPr>
            <w:rFonts w:ascii="Helvetica" w:eastAsia="Times New Roman" w:hAnsi="Helvetica" w:cs="Helvetica"/>
            <w:b/>
            <w:bCs/>
            <w:i/>
            <w:iCs/>
            <w:color w:val="545351"/>
            <w:sz w:val="18"/>
            <w:szCs w:val="18"/>
            <w:u w:val="single"/>
          </w:rPr>
          <w:t>phylogenetic software</w:t>
        </w:r>
      </w:hyperlink>
      <w:r w:rsidRPr="00801460">
        <w:rPr>
          <w:rFonts w:ascii="Arial" w:eastAsia="Times New Roman" w:hAnsi="Arial" w:cs="Arial"/>
          <w:color w:val="333333"/>
          <w:sz w:val="18"/>
          <w:szCs w:val="18"/>
        </w:rPr>
        <w:t> and </w:t>
      </w:r>
      <w:hyperlink r:id="rId14" w:anchor="trouble" w:tgtFrame="_blank" w:tooltip="Troubleshooting and Discussion Forums" w:history="1">
        <w:r w:rsidRPr="00801460">
          <w:rPr>
            <w:rFonts w:ascii="Helvetica" w:eastAsia="Times New Roman" w:hAnsi="Helvetica" w:cs="Helvetica"/>
            <w:b/>
            <w:bCs/>
            <w:i/>
            <w:iCs/>
            <w:color w:val="545351"/>
            <w:sz w:val="18"/>
            <w:szCs w:val="18"/>
            <w:u w:val="single"/>
          </w:rPr>
          <w:t>discussion forums</w:t>
        </w:r>
      </w:hyperlink>
      <w:r w:rsidRPr="00801460">
        <w:rPr>
          <w:rFonts w:ascii="Arial" w:eastAsia="Times New Roman" w:hAnsi="Arial" w:cs="Arial"/>
          <w:color w:val="333333"/>
          <w:sz w:val="18"/>
          <w:szCs w:val="18"/>
        </w:rPr>
        <w:t>.</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000000"/>
          <w:sz w:val="18"/>
          <w:szCs w:val="18"/>
        </w:rPr>
        <w:t>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lastRenderedPageBreak/>
        <w:t xml:space="preserve">The key objective of microsatellite analysis is to record the relative sizes of the duplicating segments. Each locus is categorized by </w:t>
      </w:r>
      <w:proofErr w:type="spellStart"/>
      <w:r w:rsidRPr="00801460">
        <w:rPr>
          <w:rFonts w:ascii="Arial" w:eastAsia="Times New Roman" w:hAnsi="Arial" w:cs="Arial"/>
          <w:color w:val="333333"/>
          <w:sz w:val="18"/>
          <w:szCs w:val="18"/>
        </w:rPr>
        <w:t>electrophoretically</w:t>
      </w:r>
      <w:proofErr w:type="spellEnd"/>
      <w:r w:rsidRPr="00801460">
        <w:rPr>
          <w:rFonts w:ascii="Arial" w:eastAsia="Times New Roman" w:hAnsi="Arial" w:cs="Arial"/>
          <w:color w:val="333333"/>
          <w:sz w:val="18"/>
          <w:szCs w:val="18"/>
        </w:rPr>
        <w:t xml:space="preserve"> separating labeled microsatellite PCR fragments and measuring the relative size (in base pairs).  Panels in fig 1 show microsatellite profiles for four individuals that were run on the CEQ8000. Notice that </w:t>
      </w:r>
      <w:proofErr w:type="spellStart"/>
      <w:proofErr w:type="gramStart"/>
      <w:r w:rsidRPr="00801460">
        <w:rPr>
          <w:rFonts w:ascii="Arial" w:eastAsia="Times New Roman" w:hAnsi="Arial" w:cs="Arial"/>
          <w:color w:val="333333"/>
          <w:sz w:val="18"/>
          <w:szCs w:val="18"/>
        </w:rPr>
        <w:t>their are</w:t>
      </w:r>
      <w:proofErr w:type="spellEnd"/>
      <w:proofErr w:type="gramEnd"/>
      <w:r w:rsidRPr="00801460">
        <w:rPr>
          <w:rFonts w:ascii="Arial" w:eastAsia="Times New Roman" w:hAnsi="Arial" w:cs="Arial"/>
          <w:color w:val="333333"/>
          <w:sz w:val="18"/>
          <w:szCs w:val="18"/>
        </w:rPr>
        <w:t xml:space="preserve"> multiple peaks that look like a stegosaurus back. Depending on the type of marker, such profiles form the characteristic of the locus under investigation. The nature of the repeat pattern is thought to result from the polymerase enzyme 'slipping' along the target strand sometimes creating an </w:t>
      </w:r>
      <w:proofErr w:type="spellStart"/>
      <w:r w:rsidRPr="00801460">
        <w:rPr>
          <w:rFonts w:ascii="Arial" w:eastAsia="Times New Roman" w:hAnsi="Arial" w:cs="Arial"/>
          <w:color w:val="333333"/>
          <w:sz w:val="18"/>
          <w:szCs w:val="18"/>
        </w:rPr>
        <w:t>amplicon</w:t>
      </w:r>
      <w:proofErr w:type="spellEnd"/>
      <w:r w:rsidRPr="00801460">
        <w:rPr>
          <w:rFonts w:ascii="Arial" w:eastAsia="Times New Roman" w:hAnsi="Arial" w:cs="Arial"/>
          <w:color w:val="333333"/>
          <w:sz w:val="18"/>
          <w:szCs w:val="18"/>
        </w:rPr>
        <w:t xml:space="preserve"> that is slightly shorter of longer than the actual microsatellite, although the exact nature of what causes this artifact is still up for debate (Zane et al. 2002). It is generally assumed that the largest peak is the actual size. Individual one, in the top panel, is a heterozygote, because two large peaks are observed at 106.23 and 131.83 respectively. Since it isn't possible to have 0.23 or 0.83 of a </w:t>
      </w:r>
      <w:proofErr w:type="spellStart"/>
      <w:r w:rsidRPr="00801460">
        <w:rPr>
          <w:rFonts w:ascii="Arial" w:eastAsia="Times New Roman" w:hAnsi="Arial" w:cs="Arial"/>
          <w:color w:val="333333"/>
          <w:sz w:val="18"/>
          <w:szCs w:val="18"/>
        </w:rPr>
        <w:t>bp</w:t>
      </w:r>
      <w:proofErr w:type="spellEnd"/>
      <w:r w:rsidRPr="00801460">
        <w:rPr>
          <w:rFonts w:ascii="Arial" w:eastAsia="Times New Roman" w:hAnsi="Arial" w:cs="Arial"/>
          <w:color w:val="333333"/>
          <w:sz w:val="18"/>
          <w:szCs w:val="18"/>
        </w:rPr>
        <w:t xml:space="preserve"> the values are corrected during the binning stage (described below). These decimal values highlight that the electrophoretic sizing of fragments isn't solely due to the length of the </w:t>
      </w:r>
      <w:proofErr w:type="spellStart"/>
      <w:r w:rsidRPr="00801460">
        <w:rPr>
          <w:rFonts w:ascii="Arial" w:eastAsia="Times New Roman" w:hAnsi="Arial" w:cs="Arial"/>
          <w:color w:val="333333"/>
          <w:sz w:val="18"/>
          <w:szCs w:val="18"/>
        </w:rPr>
        <w:t>amplicon</w:t>
      </w:r>
      <w:proofErr w:type="spellEnd"/>
      <w:r w:rsidRPr="00801460">
        <w:rPr>
          <w:rFonts w:ascii="Arial" w:eastAsia="Times New Roman" w:hAnsi="Arial" w:cs="Arial"/>
          <w:color w:val="333333"/>
          <w:sz w:val="18"/>
          <w:szCs w:val="18"/>
        </w:rPr>
        <w:t>, but the GC content also has an effect (albeit smaller) on DNA migration rates (Amos et al. 2007).</w:t>
      </w:r>
    </w:p>
    <w:p w:rsidR="00801460" w:rsidRPr="00801460" w:rsidRDefault="00801460" w:rsidP="00801460">
      <w:pPr>
        <w:shd w:val="clear" w:color="auto" w:fill="FFFFFF"/>
        <w:spacing w:after="0" w:line="300" w:lineRule="atLeast"/>
        <w:jc w:val="center"/>
        <w:rPr>
          <w:rFonts w:ascii="Arial" w:eastAsia="Times New Roman" w:hAnsi="Arial" w:cs="Arial"/>
          <w:color w:val="000000"/>
          <w:sz w:val="18"/>
          <w:szCs w:val="18"/>
        </w:rPr>
      </w:pPr>
      <w:r>
        <w:rPr>
          <w:rFonts w:ascii="Arial" w:eastAsia="Times New Roman" w:hAnsi="Arial" w:cs="Arial"/>
          <w:noProof/>
          <w:color w:val="333333"/>
          <w:sz w:val="18"/>
          <w:szCs w:val="18"/>
        </w:rPr>
        <w:drawing>
          <wp:inline distT="0" distB="0" distL="0" distR="0">
            <wp:extent cx="4286250" cy="4038600"/>
            <wp:effectExtent l="0" t="0" r="0" b="0"/>
            <wp:docPr id="1" name="Picture 1" descr="Microsatellite electropherogram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atellite electropherogram profi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4038600"/>
                    </a:xfrm>
                    <a:prstGeom prst="rect">
                      <a:avLst/>
                    </a:prstGeom>
                    <a:noFill/>
                    <a:ln>
                      <a:noFill/>
                    </a:ln>
                  </pic:spPr>
                </pic:pic>
              </a:graphicData>
            </a:graphic>
          </wp:inline>
        </w:drawing>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u w:val="single"/>
        </w:rPr>
        <w:t>Fig. 1</w:t>
      </w:r>
      <w:r w:rsidRPr="00801460">
        <w:rPr>
          <w:rFonts w:ascii="Arial" w:eastAsia="Times New Roman" w:hAnsi="Arial" w:cs="Arial"/>
          <w:color w:val="333333"/>
          <w:sz w:val="18"/>
          <w:szCs w:val="18"/>
        </w:rPr>
        <w:t> Beckman-coulter profile with size standard and microsatellite sizes for four individuals shown in separate panels from top to bottom.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000000"/>
          <w:sz w:val="18"/>
          <w:szCs w:val="18"/>
        </w:rPr>
        <w:t>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It takes time and repeated exercises for a researcher to become familiar with the patterns of their microsatellite so that they may </w:t>
      </w:r>
      <w:proofErr w:type="spellStart"/>
      <w:r w:rsidRPr="00801460">
        <w:rPr>
          <w:rFonts w:ascii="Arial" w:eastAsia="Times New Roman" w:hAnsi="Arial" w:cs="Arial"/>
          <w:color w:val="333333"/>
          <w:sz w:val="18"/>
          <w:szCs w:val="18"/>
        </w:rPr>
        <w:t>effecitvely</w:t>
      </w:r>
      <w:proofErr w:type="spellEnd"/>
      <w:r w:rsidRPr="00801460">
        <w:rPr>
          <w:rFonts w:ascii="Arial" w:eastAsia="Times New Roman" w:hAnsi="Arial" w:cs="Arial"/>
          <w:color w:val="333333"/>
          <w:sz w:val="18"/>
          <w:szCs w:val="18"/>
        </w:rPr>
        <w:t xml:space="preserve"> score alleles. For example, is the individual in the second panel a homo-or-heterozygote? By zooming in and changing the relative scale of the y-axis it is possible to more clearly see the pattern and determine the genotype for this individual. This process of sorting the raw size and pattern into allele categories is called binning (</w:t>
      </w:r>
      <w:proofErr w:type="spellStart"/>
      <w:r w:rsidRPr="00801460">
        <w:rPr>
          <w:rFonts w:ascii="Arial" w:eastAsia="Times New Roman" w:hAnsi="Arial" w:cs="Arial"/>
          <w:color w:val="333333"/>
          <w:sz w:val="18"/>
          <w:szCs w:val="18"/>
        </w:rPr>
        <w:t>Dewoody</w:t>
      </w:r>
      <w:proofErr w:type="spellEnd"/>
      <w:r w:rsidRPr="00801460">
        <w:rPr>
          <w:rFonts w:ascii="Arial" w:eastAsia="Times New Roman" w:hAnsi="Arial" w:cs="Arial"/>
          <w:color w:val="333333"/>
          <w:sz w:val="18"/>
          <w:szCs w:val="18"/>
        </w:rPr>
        <w:t xml:space="preserve"> et al. 2006; Amos et al. 2007) and Beckman-Coulter's CEQ8000 software is designed for comprehensive binning analysis. Unfortunately, the reality is that fully automated binning is still not feasible and the error rate can be astoundingly high. A program is available to assist in the search for the best fit of bin locations </w:t>
      </w:r>
      <w:proofErr w:type="spellStart"/>
      <w:r w:rsidRPr="00801460">
        <w:rPr>
          <w:rFonts w:ascii="Arial" w:eastAsia="Times New Roman" w:hAnsi="Arial" w:cs="Arial"/>
          <w:color w:val="333333"/>
          <w:sz w:val="18"/>
          <w:szCs w:val="18"/>
        </w:rPr>
        <w:t>through</w:t>
      </w:r>
      <w:hyperlink r:id="rId16" w:tgtFrame="_blank" w:tooltip="Dr. William Amos hompage and FLEXIBIN program download" w:history="1">
        <w:r w:rsidRPr="00801460">
          <w:rPr>
            <w:rFonts w:ascii="Helvetica" w:eastAsia="Times New Roman" w:hAnsi="Helvetica" w:cs="Helvetica"/>
            <w:b/>
            <w:bCs/>
            <w:i/>
            <w:iCs/>
            <w:color w:val="545351"/>
            <w:sz w:val="18"/>
            <w:szCs w:val="18"/>
            <w:u w:val="single"/>
          </w:rPr>
          <w:t>Dr</w:t>
        </w:r>
        <w:proofErr w:type="spellEnd"/>
        <w:r w:rsidRPr="00801460">
          <w:rPr>
            <w:rFonts w:ascii="Helvetica" w:eastAsia="Times New Roman" w:hAnsi="Helvetica" w:cs="Helvetica"/>
            <w:b/>
            <w:bCs/>
            <w:i/>
            <w:iCs/>
            <w:color w:val="545351"/>
            <w:sz w:val="18"/>
            <w:szCs w:val="18"/>
            <w:u w:val="single"/>
          </w:rPr>
          <w:t>. Bill Amos</w:t>
        </w:r>
      </w:hyperlink>
      <w:r w:rsidRPr="00801460">
        <w:rPr>
          <w:rFonts w:ascii="Arial" w:eastAsia="Times New Roman" w:hAnsi="Arial" w:cs="Arial"/>
          <w:color w:val="333333"/>
          <w:sz w:val="18"/>
          <w:szCs w:val="18"/>
        </w:rPr>
        <w:t> (Amos et al. 2007).</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bookmarkStart w:id="2" w:name="Lh"/>
      <w:bookmarkEnd w:id="2"/>
      <w:r w:rsidRPr="00801460">
        <w:rPr>
          <w:rFonts w:ascii="Arial" w:eastAsia="Times New Roman" w:hAnsi="Arial" w:cs="Arial"/>
          <w:b/>
          <w:bCs/>
          <w:color w:val="333333"/>
          <w:sz w:val="18"/>
          <w:szCs w:val="18"/>
        </w:rPr>
        <w:t>LH-PCR</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Length-heterogeneity PCR was pioneered by Suzuki et al. (1998). The method discriminates the size and proportions of PCR </w:t>
      </w:r>
      <w:proofErr w:type="spellStart"/>
      <w:r w:rsidRPr="00801460">
        <w:rPr>
          <w:rFonts w:ascii="Arial" w:eastAsia="Times New Roman" w:hAnsi="Arial" w:cs="Arial"/>
          <w:color w:val="333333"/>
          <w:sz w:val="18"/>
          <w:szCs w:val="18"/>
        </w:rPr>
        <w:t>amplications</w:t>
      </w:r>
      <w:proofErr w:type="spellEnd"/>
      <w:r w:rsidRPr="00801460">
        <w:rPr>
          <w:rFonts w:ascii="Arial" w:eastAsia="Times New Roman" w:hAnsi="Arial" w:cs="Arial"/>
          <w:color w:val="333333"/>
          <w:sz w:val="18"/>
          <w:szCs w:val="18"/>
        </w:rPr>
        <w:t xml:space="preserve"> originating from different genes in community structures, such as soil. The technique focuses in on natural size variation that exists in the lengths of small-subunit </w:t>
      </w:r>
      <w:proofErr w:type="spellStart"/>
      <w:r w:rsidRPr="00801460">
        <w:rPr>
          <w:rFonts w:ascii="Arial" w:eastAsia="Times New Roman" w:hAnsi="Arial" w:cs="Arial"/>
          <w:color w:val="333333"/>
          <w:sz w:val="18"/>
          <w:szCs w:val="18"/>
        </w:rPr>
        <w:t>rRNA</w:t>
      </w:r>
      <w:proofErr w:type="spellEnd"/>
      <w:r w:rsidRPr="00801460">
        <w:rPr>
          <w:rFonts w:ascii="Arial" w:eastAsia="Times New Roman" w:hAnsi="Arial" w:cs="Arial"/>
          <w:color w:val="333333"/>
          <w:sz w:val="18"/>
          <w:szCs w:val="18"/>
        </w:rPr>
        <w:t xml:space="preserve"> genes or the ammonia </w:t>
      </w:r>
      <w:proofErr w:type="spellStart"/>
      <w:r w:rsidRPr="00801460">
        <w:rPr>
          <w:rFonts w:ascii="Arial" w:eastAsia="Times New Roman" w:hAnsi="Arial" w:cs="Arial"/>
          <w:color w:val="333333"/>
          <w:sz w:val="18"/>
          <w:szCs w:val="18"/>
        </w:rPr>
        <w:t>monooxygenase</w:t>
      </w:r>
      <w:proofErr w:type="spellEnd"/>
      <w:r w:rsidRPr="00801460">
        <w:rPr>
          <w:rFonts w:ascii="Arial" w:eastAsia="Times New Roman" w:hAnsi="Arial" w:cs="Arial"/>
          <w:color w:val="333333"/>
          <w:sz w:val="18"/>
          <w:szCs w:val="18"/>
        </w:rPr>
        <w:t xml:space="preserve"> (</w:t>
      </w:r>
      <w:proofErr w:type="spellStart"/>
      <w:r w:rsidRPr="00801460">
        <w:rPr>
          <w:rFonts w:ascii="Arial" w:eastAsia="Times New Roman" w:hAnsi="Arial" w:cs="Arial"/>
          <w:i/>
          <w:iCs/>
          <w:color w:val="333333"/>
          <w:sz w:val="18"/>
          <w:szCs w:val="18"/>
        </w:rPr>
        <w:t>amo</w:t>
      </w:r>
      <w:proofErr w:type="spellEnd"/>
      <w:r w:rsidRPr="00801460">
        <w:rPr>
          <w:rFonts w:ascii="Arial" w:eastAsia="Times New Roman" w:hAnsi="Arial" w:cs="Arial"/>
          <w:color w:val="333333"/>
          <w:sz w:val="18"/>
          <w:szCs w:val="18"/>
        </w:rPr>
        <w:t>) operon (Mills et al. 2007). The method is being tested in our lab by </w:t>
      </w:r>
      <w:hyperlink r:id="rId17" w:tgtFrame="_blank" w:tooltip="Dr. Keith Egger" w:history="1">
        <w:r w:rsidRPr="00801460">
          <w:rPr>
            <w:rFonts w:ascii="Helvetica" w:eastAsia="Times New Roman" w:hAnsi="Helvetica" w:cs="Helvetica"/>
            <w:b/>
            <w:bCs/>
            <w:i/>
            <w:iCs/>
            <w:color w:val="545351"/>
            <w:sz w:val="18"/>
            <w:szCs w:val="18"/>
            <w:u w:val="single"/>
          </w:rPr>
          <w:t>Dr. Keith Egger</w:t>
        </w:r>
      </w:hyperlink>
      <w:r w:rsidRPr="00801460">
        <w:rPr>
          <w:rFonts w:ascii="Arial" w:eastAsia="Times New Roman" w:hAnsi="Arial" w:cs="Arial"/>
          <w:color w:val="333333"/>
          <w:sz w:val="18"/>
          <w:szCs w:val="18"/>
        </w:rPr>
        <w:t> as a means of quantifying biological community structure in soils. The relative area under each fluorescent peak in the electrophoretic profiles can be used to estimate the relative biomass of the species that corresponds to the DNA sequence generating the peak </w:t>
      </w:r>
      <w:r w:rsidRPr="00801460">
        <w:rPr>
          <w:rFonts w:ascii="Arial" w:eastAsia="Times New Roman" w:hAnsi="Arial" w:cs="Arial"/>
          <w:color w:val="000000"/>
          <w:sz w:val="18"/>
          <w:szCs w:val="18"/>
        </w:rPr>
        <w:t>(Richie et al. 2000)</w:t>
      </w:r>
      <w:r w:rsidRPr="00801460">
        <w:rPr>
          <w:rFonts w:ascii="Arial" w:eastAsia="Times New Roman" w:hAnsi="Arial" w:cs="Arial"/>
          <w:color w:val="333333"/>
          <w:sz w:val="18"/>
          <w:szCs w:val="18"/>
        </w:rPr>
        <w:t>. There are, however, inherent limitations in the PCR amplification process for detecting certain members of the soil community with equal probability. The method is also imprecise because each peak at a particular length may or may not represent more than species. To address this limitation it is best to complement LH-PCR with clone libraries and sequencing of the length variants. Mills et al. (2007) gives a recent overview of the method.</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bookmarkStart w:id="3" w:name="Af"/>
      <w:bookmarkEnd w:id="3"/>
      <w:r w:rsidRPr="00801460">
        <w:rPr>
          <w:rFonts w:ascii="Arial" w:eastAsia="Times New Roman" w:hAnsi="Arial" w:cs="Arial"/>
          <w:b/>
          <w:bCs/>
          <w:color w:val="333333"/>
          <w:sz w:val="18"/>
          <w:szCs w:val="18"/>
        </w:rPr>
        <w:t>AFLPs</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Amplified fragment length polymorphisms combine elements of PCR and RFLP (Restriction Fragment Length Polymorphism)-based methods.  A subset of an entire genome is selectively amplified following restriction with a 4-bp and a 6-bp enzyme cutter (Usually </w:t>
      </w:r>
      <w:proofErr w:type="spellStart"/>
      <w:r w:rsidRPr="00801460">
        <w:rPr>
          <w:rFonts w:ascii="Arial" w:eastAsia="Times New Roman" w:hAnsi="Arial" w:cs="Arial"/>
          <w:color w:val="333333"/>
          <w:sz w:val="18"/>
          <w:szCs w:val="18"/>
        </w:rPr>
        <w:t>EcoRI</w:t>
      </w:r>
      <w:proofErr w:type="spellEnd"/>
      <w:r w:rsidRPr="00801460">
        <w:rPr>
          <w:rFonts w:ascii="Arial" w:eastAsia="Times New Roman" w:hAnsi="Arial" w:cs="Arial"/>
          <w:color w:val="333333"/>
          <w:sz w:val="18"/>
          <w:szCs w:val="18"/>
        </w:rPr>
        <w:t xml:space="preserve"> and </w:t>
      </w:r>
      <w:proofErr w:type="spellStart"/>
      <w:r w:rsidRPr="00801460">
        <w:rPr>
          <w:rFonts w:ascii="Arial" w:eastAsia="Times New Roman" w:hAnsi="Arial" w:cs="Arial"/>
          <w:color w:val="333333"/>
          <w:sz w:val="18"/>
          <w:szCs w:val="18"/>
        </w:rPr>
        <w:t>MSeI</w:t>
      </w:r>
      <w:proofErr w:type="spellEnd"/>
      <w:r w:rsidRPr="00801460">
        <w:rPr>
          <w:rFonts w:ascii="Arial" w:eastAsia="Times New Roman" w:hAnsi="Arial" w:cs="Arial"/>
          <w:color w:val="333333"/>
          <w:sz w:val="18"/>
          <w:szCs w:val="18"/>
        </w:rPr>
        <w:t xml:space="preserve">). Adapters are incorporated into the sticky ends of the restricted sites. Adapter sequences, adjacent restriction sites, and one to three random nucleotides at the 3' end of the primer serve as binding sites. </w:t>
      </w:r>
      <w:proofErr w:type="spellStart"/>
      <w:r w:rsidRPr="00801460">
        <w:rPr>
          <w:rFonts w:ascii="Arial" w:eastAsia="Times New Roman" w:hAnsi="Arial" w:cs="Arial"/>
          <w:color w:val="333333"/>
          <w:sz w:val="18"/>
          <w:szCs w:val="18"/>
        </w:rPr>
        <w:t>Vos</w:t>
      </w:r>
      <w:proofErr w:type="spellEnd"/>
      <w:r w:rsidRPr="00801460">
        <w:rPr>
          <w:rFonts w:ascii="Arial" w:eastAsia="Times New Roman" w:hAnsi="Arial" w:cs="Arial"/>
          <w:color w:val="333333"/>
          <w:sz w:val="18"/>
          <w:szCs w:val="18"/>
        </w:rPr>
        <w:t xml:space="preserve"> et al. (1995) provide the initial </w:t>
      </w:r>
      <w:proofErr w:type="spellStart"/>
      <w:r w:rsidRPr="00801460">
        <w:rPr>
          <w:rFonts w:ascii="Arial" w:eastAsia="Times New Roman" w:hAnsi="Arial" w:cs="Arial"/>
          <w:color w:val="333333"/>
          <w:sz w:val="18"/>
          <w:szCs w:val="18"/>
        </w:rPr>
        <w:t>desciption</w:t>
      </w:r>
      <w:proofErr w:type="spellEnd"/>
      <w:r w:rsidRPr="00801460">
        <w:rPr>
          <w:rFonts w:ascii="Arial" w:eastAsia="Times New Roman" w:hAnsi="Arial" w:cs="Arial"/>
          <w:color w:val="333333"/>
          <w:sz w:val="18"/>
          <w:szCs w:val="18"/>
        </w:rPr>
        <w:t xml:space="preserve"> of the method. Polymorphisms are scored as either present or absent by each unique peak of varied length.</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The technique suffers from genetic dominance in the markers, that is heterozygotes cannot be distinguished </w:t>
      </w:r>
      <w:proofErr w:type="gramStart"/>
      <w:r w:rsidRPr="00801460">
        <w:rPr>
          <w:rFonts w:ascii="Arial" w:eastAsia="Times New Roman" w:hAnsi="Arial" w:cs="Arial"/>
          <w:color w:val="333333"/>
          <w:sz w:val="18"/>
          <w:szCs w:val="18"/>
        </w:rPr>
        <w:t>from a</w:t>
      </w:r>
      <w:proofErr w:type="gramEnd"/>
      <w:r w:rsidRPr="00801460">
        <w:rPr>
          <w:rFonts w:ascii="Arial" w:eastAsia="Times New Roman" w:hAnsi="Arial" w:cs="Arial"/>
          <w:color w:val="333333"/>
          <w:sz w:val="18"/>
          <w:szCs w:val="18"/>
        </w:rPr>
        <w:t xml:space="preserve"> homozygotes. However, the approach has much discriminatory power for strains or populations because it generates a large number of fragments that are generally reproducible within an acceptable statistical degree of precision. Scoring of the AFLP </w:t>
      </w:r>
      <w:proofErr w:type="spellStart"/>
      <w:r w:rsidRPr="00801460">
        <w:rPr>
          <w:rFonts w:ascii="Arial" w:eastAsia="Times New Roman" w:hAnsi="Arial" w:cs="Arial"/>
          <w:color w:val="333333"/>
          <w:sz w:val="18"/>
          <w:szCs w:val="18"/>
        </w:rPr>
        <w:t>electropherograms</w:t>
      </w:r>
      <w:proofErr w:type="spellEnd"/>
      <w:r w:rsidRPr="00801460">
        <w:rPr>
          <w:rFonts w:ascii="Arial" w:eastAsia="Times New Roman" w:hAnsi="Arial" w:cs="Arial"/>
          <w:color w:val="333333"/>
          <w:sz w:val="18"/>
          <w:szCs w:val="18"/>
        </w:rPr>
        <w:t xml:space="preserve"> is the most crucial and time consuming step. The CEQ8000 Fragment Analysis software allows the user to score each AFLP profile using bin width, amplitude threshold, and range of fragment size, but a manual check of the data is necessary because the automated process is prone to errors. It is generally recommended that 5-10% of each profile be run in duplicate, preferably using separate DNA extractions, to reduce and quantify the potential error rates in your data sets. A comprehensive review of the method and scoring technique is provided by </w:t>
      </w:r>
      <w:proofErr w:type="spellStart"/>
      <w:r w:rsidRPr="00801460">
        <w:rPr>
          <w:rFonts w:ascii="Arial" w:eastAsia="Times New Roman" w:hAnsi="Arial" w:cs="Arial"/>
          <w:color w:val="333333"/>
          <w:sz w:val="18"/>
          <w:szCs w:val="18"/>
        </w:rPr>
        <w:fldChar w:fldCharType="begin"/>
      </w:r>
      <w:r w:rsidRPr="00801460">
        <w:rPr>
          <w:rFonts w:ascii="Arial" w:eastAsia="Times New Roman" w:hAnsi="Arial" w:cs="Arial"/>
          <w:color w:val="333333"/>
          <w:sz w:val="18"/>
          <w:szCs w:val="18"/>
        </w:rPr>
        <w:instrText xml:space="preserve"> HYPERLINK "http://www.softgenetics.com/TrendsPlantScience2007.pdf" \o "Meudt and Clarke (2006) AFLP review paper" \t "_blank" </w:instrText>
      </w:r>
      <w:r w:rsidRPr="00801460">
        <w:rPr>
          <w:rFonts w:ascii="Arial" w:eastAsia="Times New Roman" w:hAnsi="Arial" w:cs="Arial"/>
          <w:color w:val="333333"/>
          <w:sz w:val="18"/>
          <w:szCs w:val="18"/>
        </w:rPr>
        <w:fldChar w:fldCharType="separate"/>
      </w:r>
      <w:r w:rsidRPr="00801460">
        <w:rPr>
          <w:rFonts w:ascii="Helvetica" w:eastAsia="Times New Roman" w:hAnsi="Helvetica" w:cs="Helvetica"/>
          <w:b/>
          <w:bCs/>
          <w:i/>
          <w:iCs/>
          <w:color w:val="545351"/>
          <w:sz w:val="18"/>
          <w:szCs w:val="18"/>
          <w:u w:val="single"/>
        </w:rPr>
        <w:t>Meudt</w:t>
      </w:r>
      <w:proofErr w:type="spellEnd"/>
      <w:r w:rsidRPr="00801460">
        <w:rPr>
          <w:rFonts w:ascii="Helvetica" w:eastAsia="Times New Roman" w:hAnsi="Helvetica" w:cs="Helvetica"/>
          <w:b/>
          <w:bCs/>
          <w:i/>
          <w:iCs/>
          <w:color w:val="545351"/>
          <w:sz w:val="18"/>
          <w:szCs w:val="18"/>
          <w:u w:val="single"/>
        </w:rPr>
        <w:t xml:space="preserve"> and Clarke (2006)</w:t>
      </w:r>
      <w:r w:rsidRPr="00801460">
        <w:rPr>
          <w:rFonts w:ascii="Arial" w:eastAsia="Times New Roman" w:hAnsi="Arial" w:cs="Arial"/>
          <w:color w:val="333333"/>
          <w:sz w:val="18"/>
          <w:szCs w:val="18"/>
        </w:rPr>
        <w:fldChar w:fldCharType="end"/>
      </w:r>
      <w:r w:rsidRPr="00801460">
        <w:rPr>
          <w:rFonts w:ascii="Arial" w:eastAsia="Times New Roman" w:hAnsi="Arial" w:cs="Arial"/>
          <w:color w:val="333333"/>
          <w:sz w:val="18"/>
          <w:szCs w:val="18"/>
        </w:rPr>
        <w:t>. Hardy (2003)</w:t>
      </w:r>
      <w:proofErr w:type="gramStart"/>
      <w:r w:rsidRPr="00801460">
        <w:rPr>
          <w:rFonts w:ascii="Arial" w:eastAsia="Times New Roman" w:hAnsi="Arial" w:cs="Arial"/>
          <w:color w:val="333333"/>
          <w:sz w:val="18"/>
          <w:szCs w:val="18"/>
        </w:rPr>
        <w:t>  discusses</w:t>
      </w:r>
      <w:proofErr w:type="gramEnd"/>
      <w:r w:rsidRPr="00801460">
        <w:rPr>
          <w:rFonts w:ascii="Arial" w:eastAsia="Times New Roman" w:hAnsi="Arial" w:cs="Arial"/>
          <w:color w:val="333333"/>
          <w:sz w:val="18"/>
          <w:szCs w:val="18"/>
        </w:rPr>
        <w:t xml:space="preserve"> analytical approaches to use dominant markers for effective analysis of isolation-by-distance in populations.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bookmarkStart w:id="4" w:name="TR"/>
      <w:bookmarkEnd w:id="4"/>
      <w:r w:rsidRPr="00801460">
        <w:rPr>
          <w:rFonts w:ascii="Arial" w:eastAsia="Times New Roman" w:hAnsi="Arial" w:cs="Arial"/>
          <w:b/>
          <w:bCs/>
          <w:color w:val="333333"/>
          <w:sz w:val="18"/>
          <w:szCs w:val="18"/>
        </w:rPr>
        <w:t>T-RFLPs</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Terminal restriction fragment length polymorphism is another variant of the RFLP technique and is used for community profiling. The method generally targets 16S </w:t>
      </w:r>
      <w:proofErr w:type="spellStart"/>
      <w:r w:rsidRPr="00801460">
        <w:rPr>
          <w:rFonts w:ascii="Arial" w:eastAsia="Times New Roman" w:hAnsi="Arial" w:cs="Arial"/>
          <w:color w:val="333333"/>
          <w:sz w:val="18"/>
          <w:szCs w:val="18"/>
        </w:rPr>
        <w:t>rRNA</w:t>
      </w:r>
      <w:proofErr w:type="spellEnd"/>
      <w:r w:rsidRPr="00801460">
        <w:rPr>
          <w:rFonts w:ascii="Arial" w:eastAsia="Times New Roman" w:hAnsi="Arial" w:cs="Arial"/>
          <w:color w:val="333333"/>
          <w:sz w:val="18"/>
          <w:szCs w:val="18"/>
        </w:rPr>
        <w:t xml:space="preserve"> and is being tested in our lab </w:t>
      </w:r>
      <w:proofErr w:type="spellStart"/>
      <w:r w:rsidRPr="00801460">
        <w:rPr>
          <w:rFonts w:ascii="Arial" w:eastAsia="Times New Roman" w:hAnsi="Arial" w:cs="Arial"/>
          <w:color w:val="333333"/>
          <w:sz w:val="18"/>
          <w:szCs w:val="18"/>
        </w:rPr>
        <w:t>by</w:t>
      </w:r>
      <w:hyperlink r:id="rId18" w:tgtFrame="_blank" w:tooltip="Dr. Keith Egger" w:history="1">
        <w:r w:rsidRPr="00801460">
          <w:rPr>
            <w:rFonts w:ascii="Helvetica" w:eastAsia="Times New Roman" w:hAnsi="Helvetica" w:cs="Helvetica"/>
            <w:b/>
            <w:bCs/>
            <w:i/>
            <w:iCs/>
            <w:color w:val="545351"/>
            <w:sz w:val="18"/>
            <w:szCs w:val="18"/>
            <w:u w:val="single"/>
          </w:rPr>
          <w:t>Dr</w:t>
        </w:r>
        <w:proofErr w:type="spellEnd"/>
        <w:r w:rsidRPr="00801460">
          <w:rPr>
            <w:rFonts w:ascii="Helvetica" w:eastAsia="Times New Roman" w:hAnsi="Helvetica" w:cs="Helvetica"/>
            <w:b/>
            <w:bCs/>
            <w:i/>
            <w:iCs/>
            <w:color w:val="545351"/>
            <w:sz w:val="18"/>
            <w:szCs w:val="18"/>
            <w:u w:val="single"/>
          </w:rPr>
          <w:t>. Keith Egger</w:t>
        </w:r>
      </w:hyperlink>
      <w:r w:rsidRPr="00801460">
        <w:rPr>
          <w:rFonts w:ascii="Arial" w:eastAsia="Times New Roman" w:hAnsi="Arial" w:cs="Arial"/>
          <w:color w:val="333333"/>
          <w:sz w:val="18"/>
          <w:szCs w:val="18"/>
        </w:rPr>
        <w:t xml:space="preserve"> .  A 5'-fluorescently </w:t>
      </w:r>
      <w:proofErr w:type="spellStart"/>
      <w:r w:rsidRPr="00801460">
        <w:rPr>
          <w:rFonts w:ascii="Arial" w:eastAsia="Times New Roman" w:hAnsi="Arial" w:cs="Arial"/>
          <w:color w:val="333333"/>
          <w:sz w:val="18"/>
          <w:szCs w:val="18"/>
        </w:rPr>
        <w:t>labelled</w:t>
      </w:r>
      <w:proofErr w:type="spellEnd"/>
      <w:r w:rsidRPr="00801460">
        <w:rPr>
          <w:rFonts w:ascii="Arial" w:eastAsia="Times New Roman" w:hAnsi="Arial" w:cs="Arial"/>
          <w:color w:val="333333"/>
          <w:sz w:val="18"/>
          <w:szCs w:val="18"/>
        </w:rPr>
        <w:t xml:space="preserve"> primer is incorporated into the </w:t>
      </w:r>
      <w:proofErr w:type="spellStart"/>
      <w:r w:rsidRPr="00801460">
        <w:rPr>
          <w:rFonts w:ascii="Arial" w:eastAsia="Times New Roman" w:hAnsi="Arial" w:cs="Arial"/>
          <w:color w:val="333333"/>
          <w:sz w:val="18"/>
          <w:szCs w:val="18"/>
        </w:rPr>
        <w:t>targetted</w:t>
      </w:r>
      <w:proofErr w:type="spellEnd"/>
      <w:r w:rsidRPr="00801460">
        <w:rPr>
          <w:rFonts w:ascii="Arial" w:eastAsia="Times New Roman" w:hAnsi="Arial" w:cs="Arial"/>
          <w:color w:val="333333"/>
          <w:sz w:val="18"/>
          <w:szCs w:val="18"/>
        </w:rPr>
        <w:t xml:space="preserve"> 16S </w:t>
      </w:r>
      <w:proofErr w:type="spellStart"/>
      <w:r w:rsidRPr="00801460">
        <w:rPr>
          <w:rFonts w:ascii="Arial" w:eastAsia="Times New Roman" w:hAnsi="Arial" w:cs="Arial"/>
          <w:color w:val="333333"/>
          <w:sz w:val="18"/>
          <w:szCs w:val="18"/>
        </w:rPr>
        <w:t>rRNA</w:t>
      </w:r>
      <w:proofErr w:type="spellEnd"/>
      <w:r w:rsidRPr="00801460">
        <w:rPr>
          <w:rFonts w:ascii="Arial" w:eastAsia="Times New Roman" w:hAnsi="Arial" w:cs="Arial"/>
          <w:color w:val="333333"/>
          <w:sz w:val="18"/>
          <w:szCs w:val="18"/>
        </w:rPr>
        <w:t xml:space="preserve"> </w:t>
      </w:r>
      <w:proofErr w:type="spellStart"/>
      <w:r w:rsidRPr="00801460">
        <w:rPr>
          <w:rFonts w:ascii="Arial" w:eastAsia="Times New Roman" w:hAnsi="Arial" w:cs="Arial"/>
          <w:color w:val="333333"/>
          <w:sz w:val="18"/>
          <w:szCs w:val="18"/>
        </w:rPr>
        <w:t>amplicon</w:t>
      </w:r>
      <w:proofErr w:type="spellEnd"/>
      <w:r w:rsidRPr="00801460">
        <w:rPr>
          <w:rFonts w:ascii="Arial" w:eastAsia="Times New Roman" w:hAnsi="Arial" w:cs="Arial"/>
          <w:color w:val="333333"/>
          <w:sz w:val="18"/>
          <w:szCs w:val="18"/>
        </w:rPr>
        <w:t xml:space="preserve"> and then digested with various restriction enzymes. The fragments are analyzed on the CEQ8000 and distinguished by length polymorphisms. The length polymorphisms are caused by variants in the DNA sequence of the bacteria analyzed plus mutations that alter the specificity the digestive enzymes.  Like all restriction fragment profiling methods there is much potential for non-specific or non-target species amplification, and limitations by restriction enzyme and PCR efficiency (Avis et al. 2006). </w:t>
      </w:r>
      <w:proofErr w:type="spellStart"/>
      <w:r w:rsidRPr="00801460">
        <w:rPr>
          <w:rFonts w:ascii="Arial" w:eastAsia="Times New Roman" w:hAnsi="Arial" w:cs="Arial"/>
          <w:color w:val="333333"/>
          <w:sz w:val="18"/>
          <w:szCs w:val="18"/>
        </w:rPr>
        <w:t>Moeseneder</w:t>
      </w:r>
      <w:proofErr w:type="spellEnd"/>
      <w:r w:rsidRPr="00801460">
        <w:rPr>
          <w:rFonts w:ascii="Arial" w:eastAsia="Times New Roman" w:hAnsi="Arial" w:cs="Arial"/>
          <w:color w:val="333333"/>
          <w:sz w:val="18"/>
          <w:szCs w:val="18"/>
        </w:rPr>
        <w:t xml:space="preserve"> et al. (1999, 2001) gives an overview of the method and demonstrates its application in microbiological screening applications.</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bookmarkStart w:id="5" w:name="gen"/>
      <w:bookmarkEnd w:id="5"/>
      <w:r w:rsidRPr="00801460">
        <w:rPr>
          <w:rFonts w:ascii="Arial" w:eastAsia="Times New Roman" w:hAnsi="Arial" w:cs="Arial"/>
          <w:b/>
          <w:bCs/>
          <w:color w:val="333333"/>
          <w:sz w:val="18"/>
          <w:szCs w:val="18"/>
        </w:rPr>
        <w:t>Genotyping and Scoring</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Genotyping refers to the categorization and interpretation, or scoring, of unique fluorescent peaks (or some other molecular marker) that corresponding to alleles.  This is perhaps the most difficult stage of a fragment study and experience in interpreting the data helps. It is important to execute a pilot study where replicates of samples are run to observe the nature of the fluorescent peaks. There are several </w:t>
      </w:r>
      <w:proofErr w:type="spellStart"/>
      <w:r w:rsidRPr="00801460">
        <w:rPr>
          <w:rFonts w:ascii="Arial" w:eastAsia="Times New Roman" w:hAnsi="Arial" w:cs="Arial"/>
          <w:color w:val="333333"/>
          <w:sz w:val="18"/>
          <w:szCs w:val="18"/>
        </w:rPr>
        <w:t>artificacts</w:t>
      </w:r>
      <w:proofErr w:type="spellEnd"/>
      <w:r w:rsidRPr="00801460">
        <w:rPr>
          <w:rFonts w:ascii="Arial" w:eastAsia="Times New Roman" w:hAnsi="Arial" w:cs="Arial"/>
          <w:color w:val="333333"/>
          <w:sz w:val="18"/>
          <w:szCs w:val="18"/>
        </w:rPr>
        <w:t xml:space="preserve"> that can hinder this analytical phase including differences in peak intensities, slight shift between two peaks from </w:t>
      </w:r>
      <w:proofErr w:type="spellStart"/>
      <w:r w:rsidRPr="00801460">
        <w:rPr>
          <w:rFonts w:ascii="Arial" w:eastAsia="Times New Roman" w:hAnsi="Arial" w:cs="Arial"/>
          <w:color w:val="333333"/>
          <w:sz w:val="18"/>
          <w:szCs w:val="18"/>
        </w:rPr>
        <w:t>muliple</w:t>
      </w:r>
      <w:proofErr w:type="spellEnd"/>
      <w:r w:rsidRPr="00801460">
        <w:rPr>
          <w:rFonts w:ascii="Arial" w:eastAsia="Times New Roman" w:hAnsi="Arial" w:cs="Arial"/>
          <w:color w:val="333333"/>
          <w:sz w:val="18"/>
          <w:szCs w:val="18"/>
        </w:rPr>
        <w:t xml:space="preserve"> runs, and shadow bands caused by slippage of </w:t>
      </w:r>
      <w:proofErr w:type="spellStart"/>
      <w:r w:rsidRPr="00801460">
        <w:rPr>
          <w:rFonts w:ascii="Arial" w:eastAsia="Times New Roman" w:hAnsi="Arial" w:cs="Arial"/>
          <w:i/>
          <w:iCs/>
          <w:color w:val="333333"/>
          <w:sz w:val="18"/>
          <w:szCs w:val="18"/>
        </w:rPr>
        <w:t>Taq</w:t>
      </w:r>
      <w:proofErr w:type="spellEnd"/>
      <w:r w:rsidRPr="00801460">
        <w:rPr>
          <w:rFonts w:ascii="Arial" w:eastAsia="Times New Roman" w:hAnsi="Arial" w:cs="Arial"/>
          <w:color w:val="333333"/>
          <w:sz w:val="18"/>
          <w:szCs w:val="18"/>
        </w:rPr>
        <w:t> polymerase during PCR.  The critical assumption in each of the fragment methods is that each peak of similar length represents a single homolog. Improper scoring of the genotype is a common source of error and it is important that the user become familiar with the literature on this subject (</w:t>
      </w:r>
      <w:r w:rsidRPr="00801460">
        <w:rPr>
          <w:rFonts w:ascii="Arial" w:eastAsia="Times New Roman" w:hAnsi="Arial" w:cs="Arial"/>
          <w:i/>
          <w:iCs/>
          <w:color w:val="333333"/>
          <w:sz w:val="18"/>
          <w:szCs w:val="18"/>
        </w:rPr>
        <w:t>see</w:t>
      </w:r>
      <w:r w:rsidRPr="00801460">
        <w:rPr>
          <w:rFonts w:ascii="Arial" w:eastAsia="Times New Roman" w:hAnsi="Arial" w:cs="Arial"/>
          <w:color w:val="333333"/>
          <w:sz w:val="18"/>
          <w:szCs w:val="18"/>
        </w:rPr>
        <w:t> </w:t>
      </w:r>
      <w:proofErr w:type="spellStart"/>
      <w:r w:rsidRPr="00801460">
        <w:rPr>
          <w:rFonts w:ascii="Arial" w:eastAsia="Times New Roman" w:hAnsi="Arial" w:cs="Arial"/>
          <w:color w:val="333333"/>
          <w:sz w:val="18"/>
          <w:szCs w:val="18"/>
        </w:rPr>
        <w:t>Ginot</w:t>
      </w:r>
      <w:proofErr w:type="spellEnd"/>
      <w:r w:rsidRPr="00801460">
        <w:rPr>
          <w:rFonts w:ascii="Arial" w:eastAsia="Times New Roman" w:hAnsi="Arial" w:cs="Arial"/>
          <w:color w:val="333333"/>
          <w:sz w:val="18"/>
          <w:szCs w:val="18"/>
        </w:rPr>
        <w:t xml:space="preserve"> et al. 1996; Bonin et al. 2004; </w:t>
      </w:r>
      <w:proofErr w:type="spellStart"/>
      <w:r w:rsidRPr="00801460">
        <w:rPr>
          <w:rFonts w:ascii="Arial" w:eastAsia="Times New Roman" w:hAnsi="Arial" w:cs="Arial"/>
          <w:color w:val="333333"/>
          <w:sz w:val="18"/>
          <w:szCs w:val="18"/>
        </w:rPr>
        <w:t>DeWoody</w:t>
      </w:r>
      <w:proofErr w:type="spellEnd"/>
      <w:r w:rsidRPr="00801460">
        <w:rPr>
          <w:rFonts w:ascii="Arial" w:eastAsia="Times New Roman" w:hAnsi="Arial" w:cs="Arial"/>
          <w:color w:val="333333"/>
          <w:sz w:val="18"/>
          <w:szCs w:val="18"/>
        </w:rPr>
        <w:t xml:space="preserve"> et al. 2006; </w:t>
      </w:r>
      <w:proofErr w:type="spellStart"/>
      <w:r w:rsidRPr="00801460">
        <w:rPr>
          <w:rFonts w:ascii="Arial" w:eastAsia="Times New Roman" w:hAnsi="Arial" w:cs="Arial"/>
          <w:color w:val="333333"/>
          <w:sz w:val="18"/>
          <w:szCs w:val="18"/>
        </w:rPr>
        <w:t>Meudt</w:t>
      </w:r>
      <w:proofErr w:type="spellEnd"/>
      <w:r w:rsidRPr="00801460">
        <w:rPr>
          <w:rFonts w:ascii="Arial" w:eastAsia="Times New Roman" w:hAnsi="Arial" w:cs="Arial"/>
          <w:color w:val="333333"/>
          <w:sz w:val="18"/>
          <w:szCs w:val="18"/>
        </w:rPr>
        <w:t xml:space="preserve"> and Clarke 2006; Amos et al. 2007).</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Microsatellite results differ from the rest of the fragment profiling methods described herein, because they reveal diploid </w:t>
      </w:r>
      <w:proofErr w:type="spellStart"/>
      <w:r w:rsidRPr="00801460">
        <w:rPr>
          <w:rFonts w:ascii="Arial" w:eastAsia="Times New Roman" w:hAnsi="Arial" w:cs="Arial"/>
          <w:color w:val="333333"/>
          <w:sz w:val="18"/>
          <w:szCs w:val="18"/>
        </w:rPr>
        <w:t>Mendelian</w:t>
      </w:r>
      <w:proofErr w:type="spellEnd"/>
      <w:r w:rsidRPr="00801460">
        <w:rPr>
          <w:rFonts w:ascii="Arial" w:eastAsia="Times New Roman" w:hAnsi="Arial" w:cs="Arial"/>
          <w:color w:val="333333"/>
          <w:sz w:val="18"/>
          <w:szCs w:val="18"/>
        </w:rPr>
        <w:t xml:space="preserve"> hetero- or homozygous loci. </w:t>
      </w:r>
      <w:proofErr w:type="gramStart"/>
      <w:r w:rsidRPr="00801460">
        <w:rPr>
          <w:rFonts w:ascii="Arial" w:eastAsia="Times New Roman" w:hAnsi="Arial" w:cs="Arial"/>
          <w:color w:val="333333"/>
          <w:sz w:val="18"/>
          <w:szCs w:val="18"/>
        </w:rPr>
        <w:t xml:space="preserve">Hence, as a </w:t>
      </w:r>
      <w:proofErr w:type="spellStart"/>
      <w:r w:rsidRPr="00801460">
        <w:rPr>
          <w:rFonts w:ascii="Arial" w:eastAsia="Times New Roman" w:hAnsi="Arial" w:cs="Arial"/>
          <w:color w:val="333333"/>
          <w:sz w:val="18"/>
          <w:szCs w:val="18"/>
        </w:rPr>
        <w:t>codominant</w:t>
      </w:r>
      <w:proofErr w:type="spellEnd"/>
      <w:r w:rsidRPr="00801460">
        <w:rPr>
          <w:rFonts w:ascii="Arial" w:eastAsia="Times New Roman" w:hAnsi="Arial" w:cs="Arial"/>
          <w:color w:val="333333"/>
          <w:sz w:val="18"/>
          <w:szCs w:val="18"/>
        </w:rPr>
        <w:t xml:space="preserve"> marker the analytical treatment of the data can be more involved in terms of </w:t>
      </w:r>
      <w:proofErr w:type="spellStart"/>
      <w:r w:rsidRPr="00801460">
        <w:rPr>
          <w:rFonts w:ascii="Arial" w:eastAsia="Times New Roman" w:hAnsi="Arial" w:cs="Arial"/>
          <w:color w:val="333333"/>
          <w:sz w:val="18"/>
          <w:szCs w:val="18"/>
        </w:rPr>
        <w:t>heterozygosity</w:t>
      </w:r>
      <w:proofErr w:type="spellEnd"/>
      <w:r w:rsidRPr="00801460">
        <w:rPr>
          <w:rFonts w:ascii="Arial" w:eastAsia="Times New Roman" w:hAnsi="Arial" w:cs="Arial"/>
          <w:color w:val="333333"/>
          <w:sz w:val="18"/>
          <w:szCs w:val="18"/>
        </w:rPr>
        <w:t xml:space="preserve"> diversity indices.</w:t>
      </w:r>
      <w:proofErr w:type="gramEnd"/>
      <w:r w:rsidRPr="00801460">
        <w:rPr>
          <w:rFonts w:ascii="Arial" w:eastAsia="Times New Roman" w:hAnsi="Arial" w:cs="Arial"/>
          <w:color w:val="333333"/>
          <w:sz w:val="18"/>
          <w:szCs w:val="18"/>
        </w:rPr>
        <w:t xml:space="preserve"> The remaining methods are classified as dominant markers (but see </w:t>
      </w:r>
      <w:proofErr w:type="spellStart"/>
      <w:r w:rsidRPr="00801460">
        <w:rPr>
          <w:rFonts w:ascii="Arial" w:eastAsia="Times New Roman" w:hAnsi="Arial" w:cs="Arial"/>
          <w:color w:val="333333"/>
          <w:sz w:val="18"/>
          <w:szCs w:val="18"/>
        </w:rPr>
        <w:t>Piepho</w:t>
      </w:r>
      <w:proofErr w:type="spellEnd"/>
      <w:r w:rsidRPr="00801460">
        <w:rPr>
          <w:rFonts w:ascii="Arial" w:eastAsia="Times New Roman" w:hAnsi="Arial" w:cs="Arial"/>
          <w:color w:val="333333"/>
          <w:sz w:val="18"/>
          <w:szCs w:val="18"/>
        </w:rPr>
        <w:t xml:space="preserve"> and Koch 2000).  There are two main approaches in the scoring of fragment data. The data can be treated as discrete (e.g. 01 binary) or continuous (e.g. 0 &gt; 1 &gt; 2 &gt; 3 scale). Binary data sets are easily accepted into </w:t>
      </w:r>
      <w:proofErr w:type="spellStart"/>
      <w:r w:rsidRPr="00801460">
        <w:rPr>
          <w:rFonts w:ascii="Arial" w:eastAsia="Times New Roman" w:hAnsi="Arial" w:cs="Arial"/>
          <w:color w:val="333333"/>
          <w:sz w:val="18"/>
          <w:szCs w:val="18"/>
        </w:rPr>
        <w:t>most</w:t>
      </w:r>
      <w:hyperlink r:id="rId19" w:anchor="analysis" w:tgtFrame="_blank" w:tooltip="Phylogenetic and Population Genetic Analysis Software" w:history="1">
        <w:r w:rsidRPr="00801460">
          <w:rPr>
            <w:rFonts w:ascii="Helvetica" w:eastAsia="Times New Roman" w:hAnsi="Helvetica" w:cs="Helvetica"/>
            <w:b/>
            <w:bCs/>
            <w:i/>
            <w:iCs/>
            <w:color w:val="545351"/>
            <w:sz w:val="18"/>
            <w:szCs w:val="18"/>
            <w:u w:val="single"/>
          </w:rPr>
          <w:t>phylogenetic</w:t>
        </w:r>
        <w:proofErr w:type="spellEnd"/>
        <w:r w:rsidRPr="00801460">
          <w:rPr>
            <w:rFonts w:ascii="Helvetica" w:eastAsia="Times New Roman" w:hAnsi="Helvetica" w:cs="Helvetica"/>
            <w:b/>
            <w:bCs/>
            <w:i/>
            <w:iCs/>
            <w:color w:val="545351"/>
            <w:sz w:val="18"/>
            <w:szCs w:val="18"/>
            <w:u w:val="single"/>
          </w:rPr>
          <w:t xml:space="preserve"> software</w:t>
        </w:r>
      </w:hyperlink>
      <w:r w:rsidRPr="00801460">
        <w:rPr>
          <w:rFonts w:ascii="Arial" w:eastAsia="Times New Roman" w:hAnsi="Arial" w:cs="Arial"/>
          <w:color w:val="333333"/>
          <w:sz w:val="18"/>
          <w:szCs w:val="18"/>
        </w:rPr>
        <w:t xml:space="preserve"> packages, but for community profile analysis the different between a network and phylogenetic tree must be understood because the operational taxonomic units in a community profile violate the principle of common decent represented in a phylogeny. Continuous character </w:t>
      </w:r>
      <w:proofErr w:type="spellStart"/>
      <w:r w:rsidRPr="00801460">
        <w:rPr>
          <w:rFonts w:ascii="Arial" w:eastAsia="Times New Roman" w:hAnsi="Arial" w:cs="Arial"/>
          <w:color w:val="333333"/>
          <w:sz w:val="18"/>
          <w:szCs w:val="18"/>
        </w:rPr>
        <w:t>statescan</w:t>
      </w:r>
      <w:proofErr w:type="spellEnd"/>
      <w:r w:rsidRPr="00801460">
        <w:rPr>
          <w:rFonts w:ascii="Arial" w:eastAsia="Times New Roman" w:hAnsi="Arial" w:cs="Arial"/>
          <w:color w:val="333333"/>
          <w:sz w:val="18"/>
          <w:szCs w:val="18"/>
        </w:rPr>
        <w:t xml:space="preserve"> be obtained from relative peak heights in the </w:t>
      </w:r>
      <w:proofErr w:type="spellStart"/>
      <w:r w:rsidRPr="00801460">
        <w:rPr>
          <w:rFonts w:ascii="Arial" w:eastAsia="Times New Roman" w:hAnsi="Arial" w:cs="Arial"/>
          <w:color w:val="333333"/>
          <w:sz w:val="18"/>
          <w:szCs w:val="18"/>
        </w:rPr>
        <w:t>electropherograms</w:t>
      </w:r>
      <w:proofErr w:type="spellEnd"/>
      <w:r w:rsidRPr="00801460">
        <w:rPr>
          <w:rFonts w:ascii="Arial" w:eastAsia="Times New Roman" w:hAnsi="Arial" w:cs="Arial"/>
          <w:color w:val="333333"/>
          <w:sz w:val="18"/>
          <w:szCs w:val="18"/>
        </w:rPr>
        <w:t xml:space="preserve">; standards, replicates and controls must be in effect for relative peak height analysis. The analysis of such data may </w:t>
      </w:r>
      <w:proofErr w:type="spellStart"/>
      <w:r w:rsidRPr="00801460">
        <w:rPr>
          <w:rFonts w:ascii="Arial" w:eastAsia="Times New Roman" w:hAnsi="Arial" w:cs="Arial"/>
          <w:color w:val="333333"/>
          <w:sz w:val="18"/>
          <w:szCs w:val="18"/>
        </w:rPr>
        <w:t>involve</w:t>
      </w:r>
      <w:hyperlink r:id="rId20" w:tgtFrame="_blank" w:tooltip="An introduction to principal component analysis." w:history="1">
        <w:r w:rsidRPr="00801460">
          <w:rPr>
            <w:rFonts w:ascii="Helvetica" w:eastAsia="Times New Roman" w:hAnsi="Helvetica" w:cs="Helvetica"/>
            <w:b/>
            <w:bCs/>
            <w:i/>
            <w:iCs/>
            <w:color w:val="545351"/>
            <w:sz w:val="18"/>
            <w:szCs w:val="18"/>
            <w:u w:val="single"/>
          </w:rPr>
          <w:t>principal</w:t>
        </w:r>
        <w:proofErr w:type="spellEnd"/>
        <w:r w:rsidRPr="00801460">
          <w:rPr>
            <w:rFonts w:ascii="Helvetica" w:eastAsia="Times New Roman" w:hAnsi="Helvetica" w:cs="Helvetica"/>
            <w:b/>
            <w:bCs/>
            <w:i/>
            <w:iCs/>
            <w:color w:val="545351"/>
            <w:sz w:val="18"/>
            <w:szCs w:val="18"/>
            <w:u w:val="single"/>
          </w:rPr>
          <w:t xml:space="preserve"> component analysis</w:t>
        </w:r>
      </w:hyperlink>
      <w:r w:rsidRPr="00801460">
        <w:rPr>
          <w:rFonts w:ascii="Arial" w:eastAsia="Times New Roman" w:hAnsi="Arial" w:cs="Arial"/>
          <w:color w:val="333333"/>
          <w:sz w:val="18"/>
          <w:szCs w:val="18"/>
        </w:rPr>
        <w:t> (</w:t>
      </w:r>
      <w:proofErr w:type="spellStart"/>
      <w:r w:rsidRPr="00801460">
        <w:rPr>
          <w:rFonts w:ascii="Arial" w:eastAsia="Times New Roman" w:hAnsi="Arial" w:cs="Arial"/>
          <w:color w:val="000000"/>
          <w:sz w:val="18"/>
          <w:szCs w:val="18"/>
        </w:rPr>
        <w:t>Maccaferri</w:t>
      </w:r>
      <w:proofErr w:type="spellEnd"/>
      <w:r w:rsidRPr="00801460">
        <w:rPr>
          <w:rFonts w:ascii="Arial" w:eastAsia="Times New Roman" w:hAnsi="Arial" w:cs="Arial"/>
          <w:color w:val="000000"/>
          <w:sz w:val="18"/>
          <w:szCs w:val="18"/>
        </w:rPr>
        <w:t xml:space="preserve"> et al. 2007)</w:t>
      </w:r>
      <w:r w:rsidRPr="00801460">
        <w:rPr>
          <w:rFonts w:ascii="Arial" w:eastAsia="Times New Roman" w:hAnsi="Arial" w:cs="Arial"/>
          <w:color w:val="333333"/>
          <w:sz w:val="18"/>
          <w:szCs w:val="18"/>
        </w:rPr>
        <w:t>, but since most profile data are not normally distributed Mills et al. (2007) describes other forms of appropriate multivariate statist</w:t>
      </w:r>
      <w:r w:rsidRPr="00801460">
        <w:rPr>
          <w:rFonts w:ascii="Arial" w:eastAsia="Times New Roman" w:hAnsi="Arial" w:cs="Arial"/>
          <w:color w:val="000000"/>
          <w:sz w:val="18"/>
          <w:szCs w:val="18"/>
        </w:rPr>
        <w:t>ics.</w:t>
      </w:r>
    </w:p>
    <w:p w:rsidR="00801460" w:rsidRPr="00801460" w:rsidRDefault="00801460" w:rsidP="00801460">
      <w:pPr>
        <w:shd w:val="clear" w:color="auto" w:fill="FFFFFF"/>
        <w:spacing w:after="0" w:line="270" w:lineRule="atLeast"/>
        <w:rPr>
          <w:rFonts w:ascii="Times New Roman" w:eastAsia="Times New Roman" w:hAnsi="Times New Roman" w:cs="Times New Roman"/>
          <w:color w:val="333333"/>
          <w:sz w:val="24"/>
          <w:szCs w:val="24"/>
        </w:rPr>
      </w:pPr>
      <w:r w:rsidRPr="00801460">
        <w:rPr>
          <w:rFonts w:ascii="Arial" w:eastAsia="Times New Roman" w:hAnsi="Arial" w:cs="Arial"/>
          <w:color w:val="333333"/>
          <w:sz w:val="18"/>
          <w:szCs w:val="18"/>
        </w:rPr>
        <w:pict>
          <v:rect id="_x0000_i1025" style="width:468pt;height:.75pt" o:hrstd="t" o:hrnoshade="t" o:hr="t" fillcolor="#d0bc66" stroked="f"/>
        </w:pict>
      </w:r>
    </w:p>
    <w:p w:rsidR="00801460" w:rsidRPr="00801460" w:rsidRDefault="00801460" w:rsidP="00801460">
      <w:pPr>
        <w:shd w:val="clear" w:color="auto" w:fill="FFFFFF"/>
        <w:spacing w:after="0" w:line="300" w:lineRule="atLeast"/>
        <w:rPr>
          <w:rFonts w:ascii="Times New Roman" w:eastAsia="Times New Roman" w:hAnsi="Times New Roman" w:cs="Times New Roman"/>
          <w:color w:val="000000"/>
          <w:sz w:val="24"/>
          <w:szCs w:val="24"/>
        </w:rPr>
      </w:pPr>
      <w:r w:rsidRPr="00801460">
        <w:rPr>
          <w:rFonts w:ascii="Arial" w:eastAsia="Times New Roman" w:hAnsi="Arial" w:cs="Arial"/>
          <w:b/>
          <w:bCs/>
          <w:color w:val="333333"/>
          <w:sz w:val="18"/>
          <w:szCs w:val="18"/>
        </w:rPr>
        <w:t>References</w:t>
      </w:r>
    </w:p>
    <w:p w:rsidR="00801460" w:rsidRPr="00801460" w:rsidRDefault="00801460" w:rsidP="00801460">
      <w:pPr>
        <w:shd w:val="clear" w:color="auto" w:fill="FFFFFF"/>
        <w:spacing w:after="0" w:line="270" w:lineRule="atLeast"/>
        <w:rPr>
          <w:rFonts w:ascii="Arial" w:eastAsia="Times New Roman" w:hAnsi="Arial" w:cs="Arial"/>
          <w:color w:val="333333"/>
          <w:sz w:val="18"/>
          <w:szCs w:val="18"/>
        </w:rPr>
      </w:pPr>
      <w:r w:rsidRPr="00801460">
        <w:rPr>
          <w:rFonts w:ascii="Arial" w:eastAsia="Times New Roman" w:hAnsi="Arial" w:cs="Arial"/>
          <w:color w:val="333333"/>
          <w:sz w:val="18"/>
          <w:szCs w:val="18"/>
        </w:rPr>
        <w:t xml:space="preserve">Amos W, Hoffman JI, </w:t>
      </w:r>
      <w:proofErr w:type="spellStart"/>
      <w:r w:rsidRPr="00801460">
        <w:rPr>
          <w:rFonts w:ascii="Arial" w:eastAsia="Times New Roman" w:hAnsi="Arial" w:cs="Arial"/>
          <w:color w:val="333333"/>
          <w:sz w:val="18"/>
          <w:szCs w:val="18"/>
        </w:rPr>
        <w:t>Frodsham</w:t>
      </w:r>
      <w:proofErr w:type="spellEnd"/>
      <w:r w:rsidRPr="00801460">
        <w:rPr>
          <w:rFonts w:ascii="Arial" w:eastAsia="Times New Roman" w:hAnsi="Arial" w:cs="Arial"/>
          <w:color w:val="333333"/>
          <w:sz w:val="18"/>
          <w:szCs w:val="18"/>
        </w:rPr>
        <w:t> A, Zhang L, Best S and Hill AVS (2007) Automated binning of microsatellite alleles: problems and solutions. </w:t>
      </w:r>
      <w:r w:rsidRPr="00801460">
        <w:rPr>
          <w:rFonts w:ascii="Arial" w:eastAsia="Times New Roman" w:hAnsi="Arial" w:cs="Arial"/>
          <w:i/>
          <w:iCs/>
          <w:color w:val="333333"/>
          <w:sz w:val="18"/>
          <w:szCs w:val="18"/>
        </w:rPr>
        <w:t>Molecular Ecology Notes</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7</w:t>
      </w:r>
      <w:r w:rsidRPr="00801460">
        <w:rPr>
          <w:rFonts w:ascii="Arial" w:eastAsia="Times New Roman" w:hAnsi="Arial" w:cs="Arial"/>
          <w:color w:val="333333"/>
          <w:sz w:val="18"/>
          <w:szCs w:val="18"/>
        </w:rPr>
        <w:t>, 10-14.</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Avis PJ, </w:t>
      </w:r>
      <w:proofErr w:type="spellStart"/>
      <w:r w:rsidRPr="00801460">
        <w:rPr>
          <w:rFonts w:ascii="Arial" w:eastAsia="Times New Roman" w:hAnsi="Arial" w:cs="Arial"/>
          <w:color w:val="333333"/>
          <w:sz w:val="18"/>
          <w:szCs w:val="18"/>
        </w:rPr>
        <w:t>Dickie</w:t>
      </w:r>
      <w:proofErr w:type="spellEnd"/>
      <w:r w:rsidRPr="00801460">
        <w:rPr>
          <w:rFonts w:ascii="Arial" w:eastAsia="Times New Roman" w:hAnsi="Arial" w:cs="Arial"/>
          <w:color w:val="333333"/>
          <w:sz w:val="18"/>
          <w:szCs w:val="18"/>
        </w:rPr>
        <w:t xml:space="preserve"> IA and Mueller GM (2006) A 'dirty' business: testing the limitations of terminal restriction fragment </w:t>
      </w:r>
      <w:proofErr w:type="spellStart"/>
      <w:r w:rsidRPr="00801460">
        <w:rPr>
          <w:rFonts w:ascii="Arial" w:eastAsia="Times New Roman" w:hAnsi="Arial" w:cs="Arial"/>
          <w:color w:val="333333"/>
          <w:sz w:val="18"/>
          <w:szCs w:val="18"/>
        </w:rPr>
        <w:t>lengthy</w:t>
      </w:r>
      <w:proofErr w:type="spellEnd"/>
      <w:r w:rsidRPr="00801460">
        <w:rPr>
          <w:rFonts w:ascii="Arial" w:eastAsia="Times New Roman" w:hAnsi="Arial" w:cs="Arial"/>
          <w:color w:val="333333"/>
          <w:sz w:val="18"/>
          <w:szCs w:val="18"/>
        </w:rPr>
        <w:t xml:space="preserve"> polymorphism (TRFLP) analysis of soil fungi. </w:t>
      </w:r>
      <w:r w:rsidRPr="00801460">
        <w:rPr>
          <w:rFonts w:ascii="Arial" w:eastAsia="Times New Roman" w:hAnsi="Arial" w:cs="Arial"/>
          <w:i/>
          <w:iCs/>
          <w:color w:val="333333"/>
          <w:sz w:val="18"/>
          <w:szCs w:val="18"/>
        </w:rPr>
        <w:t>Molecular Ecology</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15</w:t>
      </w:r>
      <w:r w:rsidRPr="00801460">
        <w:rPr>
          <w:rFonts w:ascii="Arial" w:eastAsia="Times New Roman" w:hAnsi="Arial" w:cs="Arial"/>
          <w:color w:val="333333"/>
          <w:sz w:val="18"/>
          <w:szCs w:val="18"/>
        </w:rPr>
        <w:t>, 873-882.</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Bonin A, </w:t>
      </w:r>
      <w:proofErr w:type="spellStart"/>
      <w:r w:rsidRPr="00801460">
        <w:rPr>
          <w:rFonts w:ascii="Arial" w:eastAsia="Times New Roman" w:hAnsi="Arial" w:cs="Arial"/>
          <w:color w:val="333333"/>
          <w:sz w:val="18"/>
          <w:szCs w:val="18"/>
        </w:rPr>
        <w:t>Bellemain</w:t>
      </w:r>
      <w:proofErr w:type="spellEnd"/>
      <w:r w:rsidRPr="00801460">
        <w:rPr>
          <w:rFonts w:ascii="Arial" w:eastAsia="Times New Roman" w:hAnsi="Arial" w:cs="Arial"/>
          <w:color w:val="333333"/>
          <w:sz w:val="18"/>
          <w:szCs w:val="18"/>
        </w:rPr>
        <w:t xml:space="preserve"> E, </w:t>
      </w:r>
      <w:proofErr w:type="spellStart"/>
      <w:r w:rsidRPr="00801460">
        <w:rPr>
          <w:rFonts w:ascii="Arial" w:eastAsia="Times New Roman" w:hAnsi="Arial" w:cs="Arial"/>
          <w:color w:val="333333"/>
          <w:sz w:val="18"/>
          <w:szCs w:val="18"/>
        </w:rPr>
        <w:t>Eidesen</w:t>
      </w:r>
      <w:proofErr w:type="spellEnd"/>
      <w:r w:rsidRPr="00801460">
        <w:rPr>
          <w:rFonts w:ascii="Arial" w:eastAsia="Times New Roman" w:hAnsi="Arial" w:cs="Arial"/>
          <w:color w:val="333333"/>
          <w:sz w:val="18"/>
          <w:szCs w:val="18"/>
        </w:rPr>
        <w:t xml:space="preserve"> B, </w:t>
      </w:r>
      <w:proofErr w:type="spellStart"/>
      <w:r w:rsidRPr="00801460">
        <w:rPr>
          <w:rFonts w:ascii="Arial" w:eastAsia="Times New Roman" w:hAnsi="Arial" w:cs="Arial"/>
          <w:color w:val="333333"/>
          <w:sz w:val="18"/>
          <w:szCs w:val="18"/>
        </w:rPr>
        <w:t>Pompanon</w:t>
      </w:r>
      <w:proofErr w:type="spellEnd"/>
      <w:r w:rsidRPr="00801460">
        <w:rPr>
          <w:rFonts w:ascii="Arial" w:eastAsia="Times New Roman" w:hAnsi="Arial" w:cs="Arial"/>
          <w:color w:val="333333"/>
          <w:sz w:val="18"/>
          <w:szCs w:val="18"/>
        </w:rPr>
        <w:t xml:space="preserve"> F, </w:t>
      </w:r>
      <w:proofErr w:type="spellStart"/>
      <w:r w:rsidRPr="00801460">
        <w:rPr>
          <w:rFonts w:ascii="Arial" w:eastAsia="Times New Roman" w:hAnsi="Arial" w:cs="Arial"/>
          <w:color w:val="333333"/>
          <w:sz w:val="18"/>
          <w:szCs w:val="18"/>
        </w:rPr>
        <w:t>Brochmann</w:t>
      </w:r>
      <w:proofErr w:type="spellEnd"/>
      <w:r w:rsidRPr="00801460">
        <w:rPr>
          <w:rFonts w:ascii="Arial" w:eastAsia="Times New Roman" w:hAnsi="Arial" w:cs="Arial"/>
          <w:color w:val="333333"/>
          <w:sz w:val="18"/>
          <w:szCs w:val="18"/>
        </w:rPr>
        <w:t xml:space="preserve"> C and </w:t>
      </w:r>
      <w:proofErr w:type="spellStart"/>
      <w:r w:rsidRPr="00801460">
        <w:rPr>
          <w:rFonts w:ascii="Arial" w:eastAsia="Times New Roman" w:hAnsi="Arial" w:cs="Arial"/>
          <w:color w:val="333333"/>
          <w:sz w:val="18"/>
          <w:szCs w:val="18"/>
        </w:rPr>
        <w:t>Taberlet</w:t>
      </w:r>
      <w:proofErr w:type="spellEnd"/>
      <w:r w:rsidRPr="00801460">
        <w:rPr>
          <w:rFonts w:ascii="Arial" w:eastAsia="Times New Roman" w:hAnsi="Arial" w:cs="Arial"/>
          <w:color w:val="333333"/>
          <w:sz w:val="18"/>
          <w:szCs w:val="18"/>
        </w:rPr>
        <w:t xml:space="preserve"> P (2004) How to track and assess genotyping errors in genetics studies. </w:t>
      </w:r>
      <w:r w:rsidRPr="00801460">
        <w:rPr>
          <w:rFonts w:ascii="Arial" w:eastAsia="Times New Roman" w:hAnsi="Arial" w:cs="Arial"/>
          <w:i/>
          <w:iCs/>
          <w:color w:val="333333"/>
          <w:sz w:val="18"/>
          <w:szCs w:val="18"/>
        </w:rPr>
        <w:t>Molecular Ecology</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13</w:t>
      </w:r>
      <w:r w:rsidRPr="00801460">
        <w:rPr>
          <w:rFonts w:ascii="Arial" w:eastAsia="Times New Roman" w:hAnsi="Arial" w:cs="Arial"/>
          <w:color w:val="333333"/>
          <w:sz w:val="18"/>
          <w:szCs w:val="18"/>
        </w:rPr>
        <w:t>, 3261-3273</w:t>
      </w:r>
    </w:p>
    <w:p w:rsidR="00801460" w:rsidRPr="00801460" w:rsidRDefault="00801460" w:rsidP="00801460">
      <w:pPr>
        <w:shd w:val="clear" w:color="auto" w:fill="FFFFFF"/>
        <w:spacing w:after="0" w:line="270" w:lineRule="atLeast"/>
        <w:rPr>
          <w:rFonts w:ascii="Arial" w:eastAsia="Times New Roman" w:hAnsi="Arial" w:cs="Arial"/>
          <w:color w:val="333333"/>
          <w:sz w:val="18"/>
          <w:szCs w:val="18"/>
        </w:rPr>
      </w:pPr>
      <w:proofErr w:type="spellStart"/>
      <w:r w:rsidRPr="00801460">
        <w:rPr>
          <w:rFonts w:ascii="Arial" w:eastAsia="Times New Roman" w:hAnsi="Arial" w:cs="Arial"/>
          <w:color w:val="333333"/>
          <w:sz w:val="18"/>
          <w:szCs w:val="18"/>
        </w:rPr>
        <w:t>Dewoody</w:t>
      </w:r>
      <w:proofErr w:type="spellEnd"/>
      <w:r w:rsidRPr="00801460">
        <w:rPr>
          <w:rFonts w:ascii="Arial" w:eastAsia="Times New Roman" w:hAnsi="Arial" w:cs="Arial"/>
          <w:color w:val="333333"/>
          <w:sz w:val="18"/>
          <w:szCs w:val="18"/>
        </w:rPr>
        <w:t xml:space="preserve"> J, </w:t>
      </w:r>
      <w:proofErr w:type="spellStart"/>
      <w:r w:rsidRPr="00801460">
        <w:rPr>
          <w:rFonts w:ascii="Arial" w:eastAsia="Times New Roman" w:hAnsi="Arial" w:cs="Arial"/>
          <w:color w:val="333333"/>
          <w:sz w:val="18"/>
          <w:szCs w:val="18"/>
        </w:rPr>
        <w:t>Nason</w:t>
      </w:r>
      <w:proofErr w:type="spellEnd"/>
      <w:r w:rsidRPr="00801460">
        <w:rPr>
          <w:rFonts w:ascii="Arial" w:eastAsia="Times New Roman" w:hAnsi="Arial" w:cs="Arial"/>
          <w:color w:val="333333"/>
          <w:sz w:val="18"/>
          <w:szCs w:val="18"/>
        </w:rPr>
        <w:t xml:space="preserve"> JD, and </w:t>
      </w:r>
      <w:proofErr w:type="spellStart"/>
      <w:r w:rsidRPr="00801460">
        <w:rPr>
          <w:rFonts w:ascii="Arial" w:eastAsia="Times New Roman" w:hAnsi="Arial" w:cs="Arial"/>
          <w:color w:val="333333"/>
          <w:sz w:val="18"/>
          <w:szCs w:val="18"/>
        </w:rPr>
        <w:t>Hipkins</w:t>
      </w:r>
      <w:proofErr w:type="spellEnd"/>
      <w:r w:rsidRPr="00801460">
        <w:rPr>
          <w:rFonts w:ascii="Arial" w:eastAsia="Times New Roman" w:hAnsi="Arial" w:cs="Arial"/>
          <w:color w:val="333333"/>
          <w:sz w:val="18"/>
          <w:szCs w:val="18"/>
        </w:rPr>
        <w:t> VD (2006) Mitigating scoring errors in microsatellite data from wild populations. </w:t>
      </w:r>
      <w:r w:rsidRPr="00801460">
        <w:rPr>
          <w:rFonts w:ascii="Arial" w:eastAsia="Times New Roman" w:hAnsi="Arial" w:cs="Arial"/>
          <w:i/>
          <w:iCs/>
          <w:color w:val="333333"/>
          <w:sz w:val="18"/>
          <w:szCs w:val="18"/>
        </w:rPr>
        <w:t>Molecular Ecology Notes,</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6</w:t>
      </w:r>
      <w:r w:rsidRPr="00801460">
        <w:rPr>
          <w:rFonts w:ascii="Arial" w:eastAsia="Times New Roman" w:hAnsi="Arial" w:cs="Arial"/>
          <w:color w:val="333333"/>
          <w:sz w:val="18"/>
          <w:szCs w:val="18"/>
        </w:rPr>
        <w:t>, 951-957.</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proofErr w:type="spellStart"/>
      <w:r w:rsidRPr="00801460">
        <w:rPr>
          <w:rFonts w:ascii="Arial" w:eastAsia="Times New Roman" w:hAnsi="Arial" w:cs="Arial"/>
          <w:color w:val="333333"/>
          <w:sz w:val="18"/>
          <w:szCs w:val="18"/>
        </w:rPr>
        <w:t>Ginot</w:t>
      </w:r>
      <w:proofErr w:type="spellEnd"/>
      <w:r w:rsidRPr="00801460">
        <w:rPr>
          <w:rFonts w:ascii="Arial" w:eastAsia="Times New Roman" w:hAnsi="Arial" w:cs="Arial"/>
          <w:color w:val="333333"/>
          <w:sz w:val="18"/>
          <w:szCs w:val="18"/>
        </w:rPr>
        <w:t xml:space="preserve"> F, </w:t>
      </w:r>
      <w:proofErr w:type="spellStart"/>
      <w:r w:rsidRPr="00801460">
        <w:rPr>
          <w:rFonts w:ascii="Arial" w:eastAsia="Times New Roman" w:hAnsi="Arial" w:cs="Arial"/>
          <w:color w:val="333333"/>
          <w:sz w:val="18"/>
          <w:szCs w:val="18"/>
        </w:rPr>
        <w:t>Bordelais</w:t>
      </w:r>
      <w:proofErr w:type="spellEnd"/>
      <w:r w:rsidRPr="00801460">
        <w:rPr>
          <w:rFonts w:ascii="Arial" w:eastAsia="Times New Roman" w:hAnsi="Arial" w:cs="Arial"/>
          <w:color w:val="333333"/>
          <w:sz w:val="18"/>
          <w:szCs w:val="18"/>
        </w:rPr>
        <w:t xml:space="preserve"> I, Nguyen S, </w:t>
      </w:r>
      <w:proofErr w:type="spellStart"/>
      <w:r w:rsidRPr="00801460">
        <w:rPr>
          <w:rFonts w:ascii="Arial" w:eastAsia="Times New Roman" w:hAnsi="Arial" w:cs="Arial"/>
          <w:color w:val="333333"/>
          <w:sz w:val="18"/>
          <w:szCs w:val="18"/>
        </w:rPr>
        <w:t>Gyapay</w:t>
      </w:r>
      <w:proofErr w:type="spellEnd"/>
      <w:r w:rsidRPr="00801460">
        <w:rPr>
          <w:rFonts w:ascii="Arial" w:eastAsia="Times New Roman" w:hAnsi="Arial" w:cs="Arial"/>
          <w:color w:val="333333"/>
          <w:sz w:val="18"/>
          <w:szCs w:val="18"/>
        </w:rPr>
        <w:t xml:space="preserve"> G (1996) Correction of some genotyping errors in automated fluorescent microsatellite analysis by enzymatic removal of one base overhangs. </w:t>
      </w:r>
      <w:r w:rsidRPr="00801460">
        <w:rPr>
          <w:rFonts w:ascii="Arial" w:eastAsia="Times New Roman" w:hAnsi="Arial" w:cs="Arial"/>
          <w:i/>
          <w:iCs/>
          <w:color w:val="333333"/>
          <w:sz w:val="18"/>
          <w:szCs w:val="18"/>
        </w:rPr>
        <w:t>Nucleic Acids Research</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24</w:t>
      </w:r>
      <w:r w:rsidRPr="00801460">
        <w:rPr>
          <w:rFonts w:ascii="Arial" w:eastAsia="Times New Roman" w:hAnsi="Arial" w:cs="Arial"/>
          <w:color w:val="333333"/>
          <w:sz w:val="18"/>
          <w:szCs w:val="18"/>
        </w:rPr>
        <w:t>, 540-541</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xml:space="preserve">Hamilton MB, </w:t>
      </w:r>
      <w:proofErr w:type="spellStart"/>
      <w:r w:rsidRPr="00801460">
        <w:rPr>
          <w:rFonts w:ascii="Arial" w:eastAsia="Times New Roman" w:hAnsi="Arial" w:cs="Arial"/>
          <w:color w:val="333333"/>
          <w:sz w:val="18"/>
          <w:szCs w:val="18"/>
        </w:rPr>
        <w:t>Pincus</w:t>
      </w:r>
      <w:proofErr w:type="spellEnd"/>
      <w:r w:rsidRPr="00801460">
        <w:rPr>
          <w:rFonts w:ascii="Arial" w:eastAsia="Times New Roman" w:hAnsi="Arial" w:cs="Arial"/>
          <w:color w:val="333333"/>
          <w:sz w:val="18"/>
          <w:szCs w:val="18"/>
        </w:rPr>
        <w:t> LP, Fiore AD and Fleischer RC (1999) Universal linker and ligation procedures for construction of genomic DNA libraries enriched for microsatellites. </w:t>
      </w:r>
      <w:proofErr w:type="spellStart"/>
      <w:r w:rsidRPr="00801460">
        <w:rPr>
          <w:rFonts w:ascii="Arial" w:eastAsia="Times New Roman" w:hAnsi="Arial" w:cs="Arial"/>
          <w:i/>
          <w:iCs/>
          <w:color w:val="333333"/>
          <w:sz w:val="18"/>
          <w:szCs w:val="18"/>
        </w:rPr>
        <w:t>Biotechniques</w:t>
      </w:r>
      <w:proofErr w:type="spellEnd"/>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27,</w:t>
      </w:r>
      <w:r w:rsidRPr="00801460">
        <w:rPr>
          <w:rFonts w:ascii="Arial" w:eastAsia="Times New Roman" w:hAnsi="Arial" w:cs="Arial"/>
          <w:color w:val="333333"/>
          <w:sz w:val="18"/>
          <w:szCs w:val="18"/>
        </w:rPr>
        <w:t> 500-507.</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Hardy (2003) Estimation of pairwise relatedness between individuals and characterization of isolation-by-distance processes using dominant genetic markers. </w:t>
      </w:r>
      <w:r w:rsidRPr="00801460">
        <w:rPr>
          <w:rFonts w:ascii="Arial" w:eastAsia="Times New Roman" w:hAnsi="Arial" w:cs="Arial"/>
          <w:i/>
          <w:iCs/>
          <w:color w:val="333333"/>
          <w:sz w:val="18"/>
          <w:szCs w:val="18"/>
        </w:rPr>
        <w:t>Molecular Ecology</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12</w:t>
      </w:r>
      <w:r w:rsidRPr="00801460">
        <w:rPr>
          <w:rFonts w:ascii="Arial" w:eastAsia="Times New Roman" w:hAnsi="Arial" w:cs="Arial"/>
          <w:color w:val="333333"/>
          <w:sz w:val="18"/>
          <w:szCs w:val="18"/>
        </w:rPr>
        <w:t>, 1577-1588.</w:t>
      </w:r>
    </w:p>
    <w:p w:rsidR="00801460" w:rsidRPr="00801460" w:rsidRDefault="00801460" w:rsidP="00801460">
      <w:pPr>
        <w:shd w:val="clear" w:color="auto" w:fill="FFFFFF"/>
        <w:spacing w:after="0" w:line="270" w:lineRule="atLeast"/>
        <w:rPr>
          <w:rFonts w:ascii="Arial" w:eastAsia="Times New Roman" w:hAnsi="Arial" w:cs="Arial"/>
          <w:color w:val="333333"/>
          <w:sz w:val="18"/>
          <w:szCs w:val="18"/>
        </w:rPr>
      </w:pPr>
      <w:proofErr w:type="spellStart"/>
      <w:proofErr w:type="gramStart"/>
      <w:r w:rsidRPr="00801460">
        <w:rPr>
          <w:rFonts w:ascii="Arial" w:eastAsia="Times New Roman" w:hAnsi="Arial" w:cs="Arial"/>
          <w:color w:val="333333"/>
          <w:sz w:val="18"/>
          <w:szCs w:val="18"/>
        </w:rPr>
        <w:t>Meudt</w:t>
      </w:r>
      <w:proofErr w:type="spellEnd"/>
      <w:r w:rsidRPr="00801460">
        <w:rPr>
          <w:rFonts w:ascii="Arial" w:eastAsia="Times New Roman" w:hAnsi="Arial" w:cs="Arial"/>
          <w:color w:val="333333"/>
          <w:sz w:val="18"/>
          <w:szCs w:val="18"/>
        </w:rPr>
        <w:t xml:space="preserve"> HM, and Clarke AC (2007) Almost Forgotten or Latest Practice?</w:t>
      </w:r>
      <w:proofErr w:type="gramEnd"/>
      <w:r w:rsidRPr="00801460">
        <w:rPr>
          <w:rFonts w:ascii="Arial" w:eastAsia="Times New Roman" w:hAnsi="Arial" w:cs="Arial"/>
          <w:color w:val="333333"/>
          <w:sz w:val="18"/>
          <w:szCs w:val="18"/>
        </w:rPr>
        <w:t xml:space="preserve"> </w:t>
      </w:r>
      <w:proofErr w:type="gramStart"/>
      <w:r w:rsidRPr="00801460">
        <w:rPr>
          <w:rFonts w:ascii="Arial" w:eastAsia="Times New Roman" w:hAnsi="Arial" w:cs="Arial"/>
          <w:color w:val="333333"/>
          <w:sz w:val="18"/>
          <w:szCs w:val="18"/>
        </w:rPr>
        <w:t>AFLP applications, analyses and advances.</w:t>
      </w:r>
      <w:proofErr w:type="gramEnd"/>
      <w:r w:rsidRPr="00801460">
        <w:rPr>
          <w:rFonts w:ascii="Arial" w:eastAsia="Times New Roman" w:hAnsi="Arial" w:cs="Arial"/>
          <w:color w:val="333333"/>
          <w:sz w:val="18"/>
          <w:szCs w:val="18"/>
        </w:rPr>
        <w:t> </w:t>
      </w:r>
      <w:r w:rsidRPr="00801460">
        <w:rPr>
          <w:rFonts w:ascii="Arial" w:eastAsia="Times New Roman" w:hAnsi="Arial" w:cs="Arial"/>
          <w:i/>
          <w:iCs/>
          <w:color w:val="333333"/>
          <w:sz w:val="18"/>
          <w:szCs w:val="18"/>
        </w:rPr>
        <w:t>Trends in Plant Science</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12</w:t>
      </w:r>
      <w:r w:rsidRPr="00801460">
        <w:rPr>
          <w:rFonts w:ascii="Arial" w:eastAsia="Times New Roman" w:hAnsi="Arial" w:cs="Arial"/>
          <w:color w:val="333333"/>
          <w:sz w:val="18"/>
          <w:szCs w:val="18"/>
        </w:rPr>
        <w:t>, 106-117.</w:t>
      </w:r>
    </w:p>
    <w:p w:rsidR="00801460" w:rsidRPr="00801460" w:rsidRDefault="00801460" w:rsidP="00801460">
      <w:pPr>
        <w:shd w:val="clear" w:color="auto" w:fill="FFFFFF"/>
        <w:spacing w:after="0" w:line="270" w:lineRule="atLeast"/>
        <w:rPr>
          <w:rFonts w:ascii="Arial" w:eastAsia="Times New Roman" w:hAnsi="Arial" w:cs="Arial"/>
          <w:color w:val="333333"/>
          <w:sz w:val="18"/>
          <w:szCs w:val="18"/>
        </w:rPr>
      </w:pPr>
      <w:r w:rsidRPr="00801460">
        <w:rPr>
          <w:rFonts w:ascii="Arial" w:eastAsia="Times New Roman" w:hAnsi="Arial" w:cs="Arial"/>
          <w:color w:val="333333"/>
          <w:sz w:val="18"/>
          <w:szCs w:val="18"/>
        </w:rPr>
        <w:t>Mills DK, Entry </w:t>
      </w:r>
      <w:proofErr w:type="gramStart"/>
      <w:r w:rsidRPr="00801460">
        <w:rPr>
          <w:rFonts w:ascii="Arial" w:eastAsia="Times New Roman" w:hAnsi="Arial" w:cs="Arial"/>
          <w:color w:val="333333"/>
          <w:sz w:val="18"/>
          <w:szCs w:val="18"/>
        </w:rPr>
        <w:t>JA ,</w:t>
      </w:r>
      <w:proofErr w:type="gramEnd"/>
      <w:r w:rsidRPr="00801460">
        <w:rPr>
          <w:rFonts w:ascii="Arial" w:eastAsia="Times New Roman" w:hAnsi="Arial" w:cs="Arial"/>
          <w:color w:val="333333"/>
          <w:sz w:val="18"/>
          <w:szCs w:val="18"/>
        </w:rPr>
        <w:t xml:space="preserve"> </w:t>
      </w:r>
      <w:proofErr w:type="spellStart"/>
      <w:r w:rsidRPr="00801460">
        <w:rPr>
          <w:rFonts w:ascii="Arial" w:eastAsia="Times New Roman" w:hAnsi="Arial" w:cs="Arial"/>
          <w:color w:val="333333"/>
          <w:sz w:val="18"/>
          <w:szCs w:val="18"/>
        </w:rPr>
        <w:t>Gillevet</w:t>
      </w:r>
      <w:proofErr w:type="spellEnd"/>
      <w:r w:rsidRPr="00801460">
        <w:rPr>
          <w:rFonts w:ascii="Arial" w:eastAsia="Times New Roman" w:hAnsi="Arial" w:cs="Arial"/>
          <w:color w:val="333333"/>
          <w:sz w:val="18"/>
          <w:szCs w:val="18"/>
        </w:rPr>
        <w:t xml:space="preserve"> PM , and </w:t>
      </w:r>
      <w:proofErr w:type="spellStart"/>
      <w:r w:rsidRPr="00801460">
        <w:rPr>
          <w:rFonts w:ascii="Arial" w:eastAsia="Times New Roman" w:hAnsi="Arial" w:cs="Arial"/>
          <w:color w:val="333333"/>
          <w:sz w:val="18"/>
          <w:szCs w:val="18"/>
        </w:rPr>
        <w:t>Mathee</w:t>
      </w:r>
      <w:proofErr w:type="spellEnd"/>
      <w:r w:rsidRPr="00801460">
        <w:rPr>
          <w:rFonts w:ascii="Arial" w:eastAsia="Times New Roman" w:hAnsi="Arial" w:cs="Arial"/>
          <w:color w:val="333333"/>
          <w:sz w:val="18"/>
          <w:szCs w:val="18"/>
        </w:rPr>
        <w:t xml:space="preserve"> K (2007) Assessing Microbial Community Diversity Using </w:t>
      </w:r>
      <w:proofErr w:type="spellStart"/>
      <w:r w:rsidRPr="00801460">
        <w:rPr>
          <w:rFonts w:ascii="Arial" w:eastAsia="Times New Roman" w:hAnsi="Arial" w:cs="Arial"/>
          <w:color w:val="333333"/>
          <w:sz w:val="18"/>
          <w:szCs w:val="18"/>
        </w:rPr>
        <w:t>Amplicon</w:t>
      </w:r>
      <w:proofErr w:type="spellEnd"/>
      <w:r w:rsidRPr="00801460">
        <w:rPr>
          <w:rFonts w:ascii="Arial" w:eastAsia="Times New Roman" w:hAnsi="Arial" w:cs="Arial"/>
          <w:color w:val="333333"/>
          <w:sz w:val="18"/>
          <w:szCs w:val="18"/>
        </w:rPr>
        <w:t xml:space="preserve"> Length Heterogeneity Polymerase Chain Reaction. </w:t>
      </w:r>
      <w:r w:rsidRPr="00801460">
        <w:rPr>
          <w:rFonts w:ascii="Arial" w:eastAsia="Times New Roman" w:hAnsi="Arial" w:cs="Arial"/>
          <w:i/>
          <w:iCs/>
          <w:color w:val="333333"/>
          <w:sz w:val="18"/>
          <w:szCs w:val="18"/>
        </w:rPr>
        <w:t xml:space="preserve">Soil </w:t>
      </w:r>
      <w:proofErr w:type="spellStart"/>
      <w:r w:rsidRPr="00801460">
        <w:rPr>
          <w:rFonts w:ascii="Arial" w:eastAsia="Times New Roman" w:hAnsi="Arial" w:cs="Arial"/>
          <w:i/>
          <w:iCs/>
          <w:color w:val="333333"/>
          <w:sz w:val="18"/>
          <w:szCs w:val="18"/>
        </w:rPr>
        <w:t>Sci</w:t>
      </w:r>
      <w:proofErr w:type="spellEnd"/>
      <w:r w:rsidRPr="00801460">
        <w:rPr>
          <w:rFonts w:ascii="Arial" w:eastAsia="Times New Roman" w:hAnsi="Arial" w:cs="Arial"/>
          <w:i/>
          <w:iCs/>
          <w:color w:val="333333"/>
          <w:sz w:val="18"/>
          <w:szCs w:val="18"/>
        </w:rPr>
        <w:t xml:space="preserve"> </w:t>
      </w:r>
      <w:proofErr w:type="spellStart"/>
      <w:r w:rsidRPr="00801460">
        <w:rPr>
          <w:rFonts w:ascii="Arial" w:eastAsia="Times New Roman" w:hAnsi="Arial" w:cs="Arial"/>
          <w:i/>
          <w:iCs/>
          <w:color w:val="333333"/>
          <w:sz w:val="18"/>
          <w:szCs w:val="18"/>
        </w:rPr>
        <w:t>Soc</w:t>
      </w:r>
      <w:proofErr w:type="spellEnd"/>
      <w:r w:rsidRPr="00801460">
        <w:rPr>
          <w:rFonts w:ascii="Arial" w:eastAsia="Times New Roman" w:hAnsi="Arial" w:cs="Arial"/>
          <w:i/>
          <w:iCs/>
          <w:color w:val="333333"/>
          <w:sz w:val="18"/>
          <w:szCs w:val="18"/>
        </w:rPr>
        <w:t xml:space="preserve"> Am J</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71</w:t>
      </w:r>
      <w:r w:rsidRPr="00801460">
        <w:rPr>
          <w:rFonts w:ascii="Arial" w:eastAsia="Times New Roman" w:hAnsi="Arial" w:cs="Arial"/>
          <w:color w:val="333333"/>
          <w:sz w:val="18"/>
          <w:szCs w:val="18"/>
        </w:rPr>
        <w:t>, 572-578.</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r w:rsidRPr="00801460">
        <w:rPr>
          <w:rFonts w:ascii="Arial" w:eastAsia="Times New Roman" w:hAnsi="Arial" w:cs="Arial"/>
          <w:color w:val="333333"/>
          <w:sz w:val="18"/>
          <w:szCs w:val="18"/>
        </w:rPr>
        <w:t> </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proofErr w:type="spellStart"/>
      <w:r w:rsidRPr="00801460">
        <w:rPr>
          <w:rFonts w:ascii="Arial" w:eastAsia="Times New Roman" w:hAnsi="Arial" w:cs="Arial"/>
          <w:color w:val="333333"/>
          <w:sz w:val="18"/>
          <w:szCs w:val="18"/>
        </w:rPr>
        <w:t>Moeseneder</w:t>
      </w:r>
      <w:proofErr w:type="spellEnd"/>
      <w:r w:rsidRPr="00801460">
        <w:rPr>
          <w:rFonts w:ascii="Arial" w:eastAsia="Times New Roman" w:hAnsi="Arial" w:cs="Arial"/>
          <w:color w:val="333333"/>
          <w:sz w:val="18"/>
          <w:szCs w:val="18"/>
        </w:rPr>
        <w:t xml:space="preserve"> MM, </w:t>
      </w:r>
      <w:proofErr w:type="spellStart"/>
      <w:r w:rsidRPr="00801460">
        <w:rPr>
          <w:rFonts w:ascii="Arial" w:eastAsia="Times New Roman" w:hAnsi="Arial" w:cs="Arial"/>
          <w:color w:val="333333"/>
          <w:sz w:val="18"/>
          <w:szCs w:val="18"/>
        </w:rPr>
        <w:t>Arrieta</w:t>
      </w:r>
      <w:proofErr w:type="spellEnd"/>
      <w:r w:rsidRPr="00801460">
        <w:rPr>
          <w:rFonts w:ascii="Arial" w:eastAsia="Times New Roman" w:hAnsi="Arial" w:cs="Arial"/>
          <w:color w:val="333333"/>
          <w:sz w:val="18"/>
          <w:szCs w:val="18"/>
        </w:rPr>
        <w:t xml:space="preserve"> JM, </w:t>
      </w:r>
      <w:proofErr w:type="spellStart"/>
      <w:r w:rsidRPr="00801460">
        <w:rPr>
          <w:rFonts w:ascii="Arial" w:eastAsia="Times New Roman" w:hAnsi="Arial" w:cs="Arial"/>
          <w:color w:val="333333"/>
          <w:sz w:val="18"/>
          <w:szCs w:val="18"/>
        </w:rPr>
        <w:t>Muyzer</w:t>
      </w:r>
      <w:proofErr w:type="spellEnd"/>
      <w:r w:rsidRPr="00801460">
        <w:rPr>
          <w:rFonts w:ascii="Arial" w:eastAsia="Times New Roman" w:hAnsi="Arial" w:cs="Arial"/>
          <w:color w:val="333333"/>
          <w:sz w:val="18"/>
          <w:szCs w:val="18"/>
        </w:rPr>
        <w:t xml:space="preserve"> G, Winter G </w:t>
      </w:r>
      <w:proofErr w:type="spellStart"/>
      <w:r w:rsidRPr="00801460">
        <w:rPr>
          <w:rFonts w:ascii="Arial" w:eastAsia="Times New Roman" w:hAnsi="Arial" w:cs="Arial"/>
          <w:color w:val="333333"/>
          <w:sz w:val="18"/>
          <w:szCs w:val="18"/>
        </w:rPr>
        <w:t>Herndl</w:t>
      </w:r>
      <w:proofErr w:type="spellEnd"/>
      <w:r w:rsidRPr="00801460">
        <w:rPr>
          <w:rFonts w:ascii="Arial" w:eastAsia="Times New Roman" w:hAnsi="Arial" w:cs="Arial"/>
          <w:color w:val="333333"/>
          <w:sz w:val="18"/>
          <w:szCs w:val="18"/>
        </w:rPr>
        <w:t xml:space="preserve"> GJ (1999) Optimization of Terminal-Restriction Fragment Length Polymorphism Analysis for Complex Marine </w:t>
      </w:r>
      <w:proofErr w:type="spellStart"/>
      <w:r w:rsidRPr="00801460">
        <w:rPr>
          <w:rFonts w:ascii="Arial" w:eastAsia="Times New Roman" w:hAnsi="Arial" w:cs="Arial"/>
          <w:color w:val="333333"/>
          <w:sz w:val="18"/>
          <w:szCs w:val="18"/>
        </w:rPr>
        <w:t>Bacterioplankton</w:t>
      </w:r>
      <w:proofErr w:type="spellEnd"/>
      <w:r w:rsidRPr="00801460">
        <w:rPr>
          <w:rFonts w:ascii="Arial" w:eastAsia="Times New Roman" w:hAnsi="Arial" w:cs="Arial"/>
          <w:color w:val="333333"/>
          <w:sz w:val="18"/>
          <w:szCs w:val="18"/>
        </w:rPr>
        <w:t xml:space="preserve"> Communities and Comparison with Denaturing Gradient Gel Electrophoresis. </w:t>
      </w:r>
      <w:r w:rsidRPr="00801460">
        <w:rPr>
          <w:rFonts w:ascii="Arial" w:eastAsia="Times New Roman" w:hAnsi="Arial" w:cs="Arial"/>
          <w:i/>
          <w:iCs/>
          <w:color w:val="333333"/>
          <w:sz w:val="18"/>
          <w:szCs w:val="18"/>
        </w:rPr>
        <w:t>Applied and Environmental Microbiology</w:t>
      </w:r>
      <w:proofErr w:type="gramStart"/>
      <w:r w:rsidRPr="00801460">
        <w:rPr>
          <w:rFonts w:ascii="Arial" w:eastAsia="Times New Roman" w:hAnsi="Arial" w:cs="Arial"/>
          <w:i/>
          <w:iCs/>
          <w:color w:val="333333"/>
          <w:sz w:val="18"/>
          <w:szCs w:val="18"/>
        </w:rPr>
        <w:t>,</w:t>
      </w:r>
      <w:r w:rsidRPr="00801460">
        <w:rPr>
          <w:rFonts w:ascii="Arial" w:eastAsia="Times New Roman" w:hAnsi="Arial" w:cs="Arial"/>
          <w:b/>
          <w:bCs/>
          <w:color w:val="333333"/>
          <w:sz w:val="18"/>
          <w:szCs w:val="18"/>
        </w:rPr>
        <w:t>65</w:t>
      </w:r>
      <w:proofErr w:type="gramEnd"/>
      <w:r w:rsidRPr="00801460">
        <w:rPr>
          <w:rFonts w:ascii="Arial" w:eastAsia="Times New Roman" w:hAnsi="Arial" w:cs="Arial"/>
          <w:b/>
          <w:bCs/>
          <w:color w:val="333333"/>
          <w:sz w:val="18"/>
          <w:szCs w:val="18"/>
        </w:rPr>
        <w:t>,</w:t>
      </w:r>
      <w:r w:rsidRPr="00801460">
        <w:rPr>
          <w:rFonts w:ascii="Arial" w:eastAsia="Times New Roman" w:hAnsi="Arial" w:cs="Arial"/>
          <w:color w:val="333333"/>
          <w:sz w:val="18"/>
          <w:szCs w:val="18"/>
        </w:rPr>
        <w:t> 3518–3525.</w:t>
      </w:r>
    </w:p>
    <w:p w:rsidR="00801460" w:rsidRPr="00801460" w:rsidRDefault="00801460" w:rsidP="00801460">
      <w:pPr>
        <w:shd w:val="clear" w:color="auto" w:fill="FFFFFF"/>
        <w:spacing w:after="0" w:line="300" w:lineRule="atLeast"/>
        <w:rPr>
          <w:rFonts w:ascii="Arial" w:eastAsia="Times New Roman" w:hAnsi="Arial" w:cs="Arial"/>
          <w:color w:val="000000"/>
          <w:sz w:val="18"/>
          <w:szCs w:val="18"/>
        </w:rPr>
      </w:pPr>
      <w:proofErr w:type="spellStart"/>
      <w:r w:rsidRPr="00801460">
        <w:rPr>
          <w:rFonts w:ascii="Arial" w:eastAsia="Times New Roman" w:hAnsi="Arial" w:cs="Arial"/>
          <w:color w:val="333333"/>
          <w:sz w:val="18"/>
          <w:szCs w:val="18"/>
        </w:rPr>
        <w:t>Moeseneder</w:t>
      </w:r>
      <w:proofErr w:type="spellEnd"/>
      <w:proofErr w:type="gramStart"/>
      <w:r w:rsidRPr="00801460">
        <w:rPr>
          <w:rFonts w:ascii="Arial" w:eastAsia="Times New Roman" w:hAnsi="Arial" w:cs="Arial"/>
          <w:color w:val="333333"/>
          <w:sz w:val="18"/>
          <w:szCs w:val="18"/>
        </w:rPr>
        <w:t>  MM</w:t>
      </w:r>
      <w:proofErr w:type="gramEnd"/>
      <w:r w:rsidRPr="00801460">
        <w:rPr>
          <w:rFonts w:ascii="Arial" w:eastAsia="Times New Roman" w:hAnsi="Arial" w:cs="Arial"/>
          <w:color w:val="333333"/>
          <w:sz w:val="18"/>
          <w:szCs w:val="18"/>
        </w:rPr>
        <w:t xml:space="preserve">, Winter C, </w:t>
      </w:r>
      <w:proofErr w:type="spellStart"/>
      <w:r w:rsidRPr="00801460">
        <w:rPr>
          <w:rFonts w:ascii="Arial" w:eastAsia="Times New Roman" w:hAnsi="Arial" w:cs="Arial"/>
          <w:color w:val="333333"/>
          <w:sz w:val="18"/>
          <w:szCs w:val="18"/>
        </w:rPr>
        <w:t>Arrieta</w:t>
      </w:r>
      <w:proofErr w:type="spellEnd"/>
      <w:r w:rsidRPr="00801460">
        <w:rPr>
          <w:rFonts w:ascii="Arial" w:eastAsia="Times New Roman" w:hAnsi="Arial" w:cs="Arial"/>
          <w:color w:val="333333"/>
          <w:sz w:val="18"/>
          <w:szCs w:val="18"/>
        </w:rPr>
        <w:t xml:space="preserve"> JM, </w:t>
      </w:r>
      <w:proofErr w:type="spellStart"/>
      <w:r w:rsidRPr="00801460">
        <w:rPr>
          <w:rFonts w:ascii="Arial" w:eastAsia="Times New Roman" w:hAnsi="Arial" w:cs="Arial"/>
          <w:color w:val="333333"/>
          <w:sz w:val="18"/>
          <w:szCs w:val="18"/>
        </w:rPr>
        <w:t>Herndl</w:t>
      </w:r>
      <w:proofErr w:type="spellEnd"/>
      <w:r w:rsidRPr="00801460">
        <w:rPr>
          <w:rFonts w:ascii="Arial" w:eastAsia="Times New Roman" w:hAnsi="Arial" w:cs="Arial"/>
          <w:color w:val="333333"/>
          <w:sz w:val="18"/>
          <w:szCs w:val="18"/>
        </w:rPr>
        <w:t xml:space="preserve"> GJ (2001) Terminal-restriction fragment length polymorphism (T-RFLP) screening of a marine </w:t>
      </w:r>
      <w:proofErr w:type="spellStart"/>
      <w:r w:rsidRPr="00801460">
        <w:rPr>
          <w:rFonts w:ascii="Arial" w:eastAsia="Times New Roman" w:hAnsi="Arial" w:cs="Arial"/>
          <w:color w:val="333333"/>
          <w:sz w:val="18"/>
          <w:szCs w:val="18"/>
        </w:rPr>
        <w:t>archaeal</w:t>
      </w:r>
      <w:proofErr w:type="spellEnd"/>
      <w:r w:rsidRPr="00801460">
        <w:rPr>
          <w:rFonts w:ascii="Arial" w:eastAsia="Times New Roman" w:hAnsi="Arial" w:cs="Arial"/>
          <w:color w:val="333333"/>
          <w:sz w:val="18"/>
          <w:szCs w:val="18"/>
        </w:rPr>
        <w:t xml:space="preserve"> clone library to determine the</w:t>
      </w:r>
      <w:r w:rsidRPr="00801460">
        <w:rPr>
          <w:rFonts w:ascii="Arial" w:eastAsia="Times New Roman" w:hAnsi="Arial" w:cs="Arial"/>
          <w:color w:val="333333"/>
          <w:sz w:val="18"/>
          <w:szCs w:val="18"/>
        </w:rPr>
        <w:br/>
        <w:t xml:space="preserve">different </w:t>
      </w:r>
      <w:proofErr w:type="spellStart"/>
      <w:r w:rsidRPr="00801460">
        <w:rPr>
          <w:rFonts w:ascii="Arial" w:eastAsia="Times New Roman" w:hAnsi="Arial" w:cs="Arial"/>
          <w:color w:val="333333"/>
          <w:sz w:val="18"/>
          <w:szCs w:val="18"/>
        </w:rPr>
        <w:t>phylotypes</w:t>
      </w:r>
      <w:proofErr w:type="spellEnd"/>
      <w:r w:rsidRPr="00801460">
        <w:rPr>
          <w:rFonts w:ascii="Arial" w:eastAsia="Times New Roman" w:hAnsi="Arial" w:cs="Arial"/>
          <w:color w:val="333333"/>
          <w:sz w:val="18"/>
          <w:szCs w:val="18"/>
        </w:rPr>
        <w:t>. </w:t>
      </w:r>
      <w:r w:rsidRPr="00801460">
        <w:rPr>
          <w:rFonts w:ascii="Arial" w:eastAsia="Times New Roman" w:hAnsi="Arial" w:cs="Arial"/>
          <w:i/>
          <w:iCs/>
          <w:color w:val="333333"/>
          <w:sz w:val="18"/>
          <w:szCs w:val="18"/>
        </w:rPr>
        <w:t>Journal of Microbiological Methods,</w:t>
      </w:r>
      <w:r w:rsidRPr="00801460">
        <w:rPr>
          <w:rFonts w:ascii="Arial" w:eastAsia="Times New Roman" w:hAnsi="Arial" w:cs="Arial"/>
          <w:color w:val="333333"/>
          <w:sz w:val="18"/>
          <w:szCs w:val="18"/>
        </w:rPr>
        <w:t> </w:t>
      </w:r>
      <w:r w:rsidRPr="00801460">
        <w:rPr>
          <w:rFonts w:ascii="Arial" w:eastAsia="Times New Roman" w:hAnsi="Arial" w:cs="Arial"/>
          <w:b/>
          <w:bCs/>
          <w:color w:val="333333"/>
          <w:sz w:val="18"/>
          <w:szCs w:val="18"/>
        </w:rPr>
        <w:t>44</w:t>
      </w:r>
    </w:p>
    <w:p w:rsidR="00431D30" w:rsidRDefault="00431D30">
      <w:bookmarkStart w:id="6" w:name="_GoBack"/>
      <w:bookmarkEnd w:id="6"/>
    </w:p>
    <w:sectPr w:rsidR="00431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41AD0"/>
    <w:multiLevelType w:val="multilevel"/>
    <w:tmpl w:val="C4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60"/>
    <w:rsid w:val="00431D30"/>
    <w:rsid w:val="0080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14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460"/>
    <w:rPr>
      <w:rFonts w:ascii="Times New Roman" w:eastAsia="Times New Roman" w:hAnsi="Times New Roman" w:cs="Times New Roman"/>
      <w:b/>
      <w:bCs/>
      <w:kern w:val="36"/>
      <w:sz w:val="48"/>
      <w:szCs w:val="48"/>
    </w:rPr>
  </w:style>
  <w:style w:type="character" w:customStyle="1" w:styleId="copy">
    <w:name w:val="copy"/>
    <w:basedOn w:val="DefaultParagraphFont"/>
    <w:rsid w:val="00801460"/>
  </w:style>
  <w:style w:type="character" w:styleId="Hyperlink">
    <w:name w:val="Hyperlink"/>
    <w:basedOn w:val="DefaultParagraphFont"/>
    <w:uiPriority w:val="99"/>
    <w:semiHidden/>
    <w:unhideWhenUsed/>
    <w:rsid w:val="00801460"/>
    <w:rPr>
      <w:color w:val="0000FF"/>
      <w:u w:val="single"/>
    </w:rPr>
  </w:style>
  <w:style w:type="character" w:customStyle="1" w:styleId="copybold">
    <w:name w:val="copy_bold"/>
    <w:basedOn w:val="DefaultParagraphFont"/>
    <w:rsid w:val="00801460"/>
  </w:style>
  <w:style w:type="character" w:customStyle="1" w:styleId="apple-converted-space">
    <w:name w:val="apple-converted-space"/>
    <w:basedOn w:val="DefaultParagraphFont"/>
    <w:rsid w:val="00801460"/>
  </w:style>
  <w:style w:type="character" w:styleId="Emphasis">
    <w:name w:val="Emphasis"/>
    <w:basedOn w:val="DefaultParagraphFont"/>
    <w:uiPriority w:val="20"/>
    <w:qFormat/>
    <w:rsid w:val="00801460"/>
    <w:rPr>
      <w:i/>
      <w:iCs/>
    </w:rPr>
  </w:style>
  <w:style w:type="character" w:styleId="Strong">
    <w:name w:val="Strong"/>
    <w:basedOn w:val="DefaultParagraphFont"/>
    <w:uiPriority w:val="22"/>
    <w:qFormat/>
    <w:rsid w:val="00801460"/>
    <w:rPr>
      <w:b/>
      <w:bCs/>
    </w:rPr>
  </w:style>
  <w:style w:type="paragraph" w:styleId="BalloonText">
    <w:name w:val="Balloon Text"/>
    <w:basedOn w:val="Normal"/>
    <w:link w:val="BalloonTextChar"/>
    <w:uiPriority w:val="99"/>
    <w:semiHidden/>
    <w:unhideWhenUsed/>
    <w:rsid w:val="0080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14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460"/>
    <w:rPr>
      <w:rFonts w:ascii="Times New Roman" w:eastAsia="Times New Roman" w:hAnsi="Times New Roman" w:cs="Times New Roman"/>
      <w:b/>
      <w:bCs/>
      <w:kern w:val="36"/>
      <w:sz w:val="48"/>
      <w:szCs w:val="48"/>
    </w:rPr>
  </w:style>
  <w:style w:type="character" w:customStyle="1" w:styleId="copy">
    <w:name w:val="copy"/>
    <w:basedOn w:val="DefaultParagraphFont"/>
    <w:rsid w:val="00801460"/>
  </w:style>
  <w:style w:type="character" w:styleId="Hyperlink">
    <w:name w:val="Hyperlink"/>
    <w:basedOn w:val="DefaultParagraphFont"/>
    <w:uiPriority w:val="99"/>
    <w:semiHidden/>
    <w:unhideWhenUsed/>
    <w:rsid w:val="00801460"/>
    <w:rPr>
      <w:color w:val="0000FF"/>
      <w:u w:val="single"/>
    </w:rPr>
  </w:style>
  <w:style w:type="character" w:customStyle="1" w:styleId="copybold">
    <w:name w:val="copy_bold"/>
    <w:basedOn w:val="DefaultParagraphFont"/>
    <w:rsid w:val="00801460"/>
  </w:style>
  <w:style w:type="character" w:customStyle="1" w:styleId="apple-converted-space">
    <w:name w:val="apple-converted-space"/>
    <w:basedOn w:val="DefaultParagraphFont"/>
    <w:rsid w:val="00801460"/>
  </w:style>
  <w:style w:type="character" w:styleId="Emphasis">
    <w:name w:val="Emphasis"/>
    <w:basedOn w:val="DefaultParagraphFont"/>
    <w:uiPriority w:val="20"/>
    <w:qFormat/>
    <w:rsid w:val="00801460"/>
    <w:rPr>
      <w:i/>
      <w:iCs/>
    </w:rPr>
  </w:style>
  <w:style w:type="character" w:styleId="Strong">
    <w:name w:val="Strong"/>
    <w:basedOn w:val="DefaultParagraphFont"/>
    <w:uiPriority w:val="22"/>
    <w:qFormat/>
    <w:rsid w:val="00801460"/>
    <w:rPr>
      <w:b/>
      <w:bCs/>
    </w:rPr>
  </w:style>
  <w:style w:type="paragraph" w:styleId="BalloonText">
    <w:name w:val="Balloon Text"/>
    <w:basedOn w:val="Normal"/>
    <w:link w:val="BalloonTextChar"/>
    <w:uiPriority w:val="99"/>
    <w:semiHidden/>
    <w:unhideWhenUsed/>
    <w:rsid w:val="0080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20559">
      <w:bodyDiv w:val="1"/>
      <w:marLeft w:val="0"/>
      <w:marRight w:val="0"/>
      <w:marTop w:val="0"/>
      <w:marBottom w:val="0"/>
      <w:divBdr>
        <w:top w:val="none" w:sz="0" w:space="0" w:color="auto"/>
        <w:left w:val="none" w:sz="0" w:space="0" w:color="auto"/>
        <w:bottom w:val="none" w:sz="0" w:space="0" w:color="auto"/>
        <w:right w:val="none" w:sz="0" w:space="0" w:color="auto"/>
      </w:divBdr>
      <w:divsChild>
        <w:div w:id="773475902">
          <w:marLeft w:val="0"/>
          <w:marRight w:val="0"/>
          <w:marTop w:val="0"/>
          <w:marBottom w:val="0"/>
          <w:divBdr>
            <w:top w:val="none" w:sz="0" w:space="0" w:color="auto"/>
            <w:left w:val="none" w:sz="0" w:space="0" w:color="auto"/>
            <w:bottom w:val="none" w:sz="0" w:space="0" w:color="auto"/>
            <w:right w:val="none" w:sz="0" w:space="0" w:color="auto"/>
          </w:divBdr>
          <w:divsChild>
            <w:div w:id="1950771299">
              <w:marLeft w:val="0"/>
              <w:marRight w:val="0"/>
              <w:marTop w:val="0"/>
              <w:marBottom w:val="0"/>
              <w:divBdr>
                <w:top w:val="none" w:sz="0" w:space="0" w:color="auto"/>
                <w:left w:val="none" w:sz="0" w:space="0" w:color="auto"/>
                <w:bottom w:val="none" w:sz="0" w:space="0" w:color="auto"/>
                <w:right w:val="none" w:sz="0" w:space="0" w:color="auto"/>
              </w:divBdr>
            </w:div>
            <w:div w:id="1232621037">
              <w:marLeft w:val="0"/>
              <w:marRight w:val="0"/>
              <w:marTop w:val="0"/>
              <w:marBottom w:val="0"/>
              <w:divBdr>
                <w:top w:val="none" w:sz="0" w:space="0" w:color="auto"/>
                <w:left w:val="none" w:sz="0" w:space="0" w:color="auto"/>
                <w:bottom w:val="none" w:sz="0" w:space="0" w:color="auto"/>
                <w:right w:val="none" w:sz="0" w:space="0" w:color="auto"/>
              </w:divBdr>
            </w:div>
            <w:div w:id="1460686941">
              <w:marLeft w:val="0"/>
              <w:marRight w:val="0"/>
              <w:marTop w:val="0"/>
              <w:marBottom w:val="0"/>
              <w:divBdr>
                <w:top w:val="none" w:sz="0" w:space="0" w:color="auto"/>
                <w:left w:val="none" w:sz="0" w:space="0" w:color="auto"/>
                <w:bottom w:val="none" w:sz="0" w:space="0" w:color="auto"/>
                <w:right w:val="none" w:sz="0" w:space="0" w:color="auto"/>
              </w:divBdr>
              <w:divsChild>
                <w:div w:id="378362082">
                  <w:marLeft w:val="0"/>
                  <w:marRight w:val="0"/>
                  <w:marTop w:val="0"/>
                  <w:marBottom w:val="0"/>
                  <w:divBdr>
                    <w:top w:val="none" w:sz="0" w:space="0" w:color="auto"/>
                    <w:left w:val="none" w:sz="0" w:space="0" w:color="auto"/>
                    <w:bottom w:val="none" w:sz="0" w:space="0" w:color="auto"/>
                    <w:right w:val="none" w:sz="0" w:space="0" w:color="auto"/>
                  </w:divBdr>
                </w:div>
                <w:div w:id="19748782">
                  <w:marLeft w:val="0"/>
                  <w:marRight w:val="0"/>
                  <w:marTop w:val="0"/>
                  <w:marBottom w:val="0"/>
                  <w:divBdr>
                    <w:top w:val="none" w:sz="0" w:space="0" w:color="auto"/>
                    <w:left w:val="none" w:sz="0" w:space="0" w:color="auto"/>
                    <w:bottom w:val="none" w:sz="0" w:space="0" w:color="auto"/>
                    <w:right w:val="none" w:sz="0" w:space="0" w:color="auto"/>
                  </w:divBdr>
                </w:div>
                <w:div w:id="1282371831">
                  <w:marLeft w:val="0"/>
                  <w:marRight w:val="0"/>
                  <w:marTop w:val="0"/>
                  <w:marBottom w:val="0"/>
                  <w:divBdr>
                    <w:top w:val="none" w:sz="0" w:space="0" w:color="auto"/>
                    <w:left w:val="none" w:sz="0" w:space="0" w:color="auto"/>
                    <w:bottom w:val="none" w:sz="0" w:space="0" w:color="auto"/>
                    <w:right w:val="none" w:sz="0" w:space="0" w:color="auto"/>
                  </w:divBdr>
                </w:div>
                <w:div w:id="1861042311">
                  <w:marLeft w:val="0"/>
                  <w:marRight w:val="0"/>
                  <w:marTop w:val="0"/>
                  <w:marBottom w:val="0"/>
                  <w:divBdr>
                    <w:top w:val="none" w:sz="0" w:space="0" w:color="auto"/>
                    <w:left w:val="none" w:sz="0" w:space="0" w:color="auto"/>
                    <w:bottom w:val="none" w:sz="0" w:space="0" w:color="auto"/>
                    <w:right w:val="none" w:sz="0" w:space="0" w:color="auto"/>
                  </w:divBdr>
                </w:div>
                <w:div w:id="577059216">
                  <w:marLeft w:val="0"/>
                  <w:marRight w:val="0"/>
                  <w:marTop w:val="0"/>
                  <w:marBottom w:val="0"/>
                  <w:divBdr>
                    <w:top w:val="none" w:sz="0" w:space="0" w:color="auto"/>
                    <w:left w:val="none" w:sz="0" w:space="0" w:color="auto"/>
                    <w:bottom w:val="none" w:sz="0" w:space="0" w:color="auto"/>
                    <w:right w:val="none" w:sz="0" w:space="0" w:color="auto"/>
                  </w:divBdr>
                </w:div>
                <w:div w:id="1961761879">
                  <w:marLeft w:val="0"/>
                  <w:marRight w:val="0"/>
                  <w:marTop w:val="0"/>
                  <w:marBottom w:val="0"/>
                  <w:divBdr>
                    <w:top w:val="none" w:sz="0" w:space="0" w:color="auto"/>
                    <w:left w:val="none" w:sz="0" w:space="0" w:color="auto"/>
                    <w:bottom w:val="none" w:sz="0" w:space="0" w:color="auto"/>
                    <w:right w:val="none" w:sz="0" w:space="0" w:color="auto"/>
                  </w:divBdr>
                </w:div>
                <w:div w:id="1114986024">
                  <w:marLeft w:val="0"/>
                  <w:marRight w:val="0"/>
                  <w:marTop w:val="0"/>
                  <w:marBottom w:val="0"/>
                  <w:divBdr>
                    <w:top w:val="none" w:sz="0" w:space="0" w:color="auto"/>
                    <w:left w:val="none" w:sz="0" w:space="0" w:color="auto"/>
                    <w:bottom w:val="none" w:sz="0" w:space="0" w:color="auto"/>
                    <w:right w:val="none" w:sz="0" w:space="0" w:color="auto"/>
                  </w:divBdr>
                </w:div>
                <w:div w:id="1507480419">
                  <w:marLeft w:val="0"/>
                  <w:marRight w:val="0"/>
                  <w:marTop w:val="0"/>
                  <w:marBottom w:val="0"/>
                  <w:divBdr>
                    <w:top w:val="none" w:sz="0" w:space="0" w:color="auto"/>
                    <w:left w:val="none" w:sz="0" w:space="0" w:color="auto"/>
                    <w:bottom w:val="none" w:sz="0" w:space="0" w:color="auto"/>
                    <w:right w:val="none" w:sz="0" w:space="0" w:color="auto"/>
                  </w:divBdr>
                </w:div>
                <w:div w:id="424618555">
                  <w:marLeft w:val="0"/>
                  <w:marRight w:val="0"/>
                  <w:marTop w:val="0"/>
                  <w:marBottom w:val="0"/>
                  <w:divBdr>
                    <w:top w:val="none" w:sz="0" w:space="0" w:color="auto"/>
                    <w:left w:val="none" w:sz="0" w:space="0" w:color="auto"/>
                    <w:bottom w:val="none" w:sz="0" w:space="0" w:color="auto"/>
                    <w:right w:val="none" w:sz="0" w:space="0" w:color="auto"/>
                  </w:divBdr>
                </w:div>
                <w:div w:id="1017004239">
                  <w:marLeft w:val="0"/>
                  <w:marRight w:val="0"/>
                  <w:marTop w:val="0"/>
                  <w:marBottom w:val="0"/>
                  <w:divBdr>
                    <w:top w:val="none" w:sz="0" w:space="0" w:color="auto"/>
                    <w:left w:val="none" w:sz="0" w:space="0" w:color="auto"/>
                    <w:bottom w:val="none" w:sz="0" w:space="0" w:color="auto"/>
                    <w:right w:val="none" w:sz="0" w:space="0" w:color="auto"/>
                  </w:divBdr>
                </w:div>
                <w:div w:id="1836650283">
                  <w:marLeft w:val="0"/>
                  <w:marRight w:val="0"/>
                  <w:marTop w:val="0"/>
                  <w:marBottom w:val="0"/>
                  <w:divBdr>
                    <w:top w:val="none" w:sz="0" w:space="0" w:color="auto"/>
                    <w:left w:val="none" w:sz="0" w:space="0" w:color="auto"/>
                    <w:bottom w:val="none" w:sz="0" w:space="0" w:color="auto"/>
                    <w:right w:val="none" w:sz="0" w:space="0" w:color="auto"/>
                  </w:divBdr>
                </w:div>
                <w:div w:id="1850411269">
                  <w:marLeft w:val="0"/>
                  <w:marRight w:val="0"/>
                  <w:marTop w:val="0"/>
                  <w:marBottom w:val="0"/>
                  <w:divBdr>
                    <w:top w:val="none" w:sz="0" w:space="0" w:color="auto"/>
                    <w:left w:val="none" w:sz="0" w:space="0" w:color="auto"/>
                    <w:bottom w:val="none" w:sz="0" w:space="0" w:color="auto"/>
                    <w:right w:val="none" w:sz="0" w:space="0" w:color="auto"/>
                  </w:divBdr>
                </w:div>
                <w:div w:id="163982436">
                  <w:marLeft w:val="0"/>
                  <w:marRight w:val="0"/>
                  <w:marTop w:val="0"/>
                  <w:marBottom w:val="0"/>
                  <w:divBdr>
                    <w:top w:val="none" w:sz="0" w:space="0" w:color="auto"/>
                    <w:left w:val="none" w:sz="0" w:space="0" w:color="auto"/>
                    <w:bottom w:val="none" w:sz="0" w:space="0" w:color="auto"/>
                    <w:right w:val="none" w:sz="0" w:space="0" w:color="auto"/>
                  </w:divBdr>
                </w:div>
                <w:div w:id="2076276748">
                  <w:marLeft w:val="0"/>
                  <w:marRight w:val="0"/>
                  <w:marTop w:val="0"/>
                  <w:marBottom w:val="0"/>
                  <w:divBdr>
                    <w:top w:val="none" w:sz="0" w:space="0" w:color="auto"/>
                    <w:left w:val="none" w:sz="0" w:space="0" w:color="auto"/>
                    <w:bottom w:val="none" w:sz="0" w:space="0" w:color="auto"/>
                    <w:right w:val="none" w:sz="0" w:space="0" w:color="auto"/>
                  </w:divBdr>
                </w:div>
                <w:div w:id="130640495">
                  <w:marLeft w:val="0"/>
                  <w:marRight w:val="0"/>
                  <w:marTop w:val="0"/>
                  <w:marBottom w:val="0"/>
                  <w:divBdr>
                    <w:top w:val="none" w:sz="0" w:space="0" w:color="auto"/>
                    <w:left w:val="none" w:sz="0" w:space="0" w:color="auto"/>
                    <w:bottom w:val="none" w:sz="0" w:space="0" w:color="auto"/>
                    <w:right w:val="none" w:sz="0" w:space="0" w:color="auto"/>
                  </w:divBdr>
                </w:div>
                <w:div w:id="997727827">
                  <w:marLeft w:val="0"/>
                  <w:marRight w:val="0"/>
                  <w:marTop w:val="0"/>
                  <w:marBottom w:val="0"/>
                  <w:divBdr>
                    <w:top w:val="none" w:sz="0" w:space="0" w:color="auto"/>
                    <w:left w:val="none" w:sz="0" w:space="0" w:color="auto"/>
                    <w:bottom w:val="none" w:sz="0" w:space="0" w:color="auto"/>
                    <w:right w:val="none" w:sz="0" w:space="0" w:color="auto"/>
                  </w:divBdr>
                </w:div>
                <w:div w:id="1978218764">
                  <w:marLeft w:val="0"/>
                  <w:marRight w:val="0"/>
                  <w:marTop w:val="0"/>
                  <w:marBottom w:val="0"/>
                  <w:divBdr>
                    <w:top w:val="none" w:sz="0" w:space="0" w:color="auto"/>
                    <w:left w:val="none" w:sz="0" w:space="0" w:color="auto"/>
                    <w:bottom w:val="none" w:sz="0" w:space="0" w:color="auto"/>
                    <w:right w:val="none" w:sz="0" w:space="0" w:color="auto"/>
                  </w:divBdr>
                </w:div>
                <w:div w:id="411119601">
                  <w:marLeft w:val="0"/>
                  <w:marRight w:val="0"/>
                  <w:marTop w:val="0"/>
                  <w:marBottom w:val="0"/>
                  <w:divBdr>
                    <w:top w:val="none" w:sz="0" w:space="0" w:color="auto"/>
                    <w:left w:val="none" w:sz="0" w:space="0" w:color="auto"/>
                    <w:bottom w:val="none" w:sz="0" w:space="0" w:color="auto"/>
                    <w:right w:val="none" w:sz="0" w:space="0" w:color="auto"/>
                  </w:divBdr>
                </w:div>
                <w:div w:id="1427339044">
                  <w:marLeft w:val="0"/>
                  <w:marRight w:val="0"/>
                  <w:marTop w:val="0"/>
                  <w:marBottom w:val="0"/>
                  <w:divBdr>
                    <w:top w:val="none" w:sz="0" w:space="0" w:color="auto"/>
                    <w:left w:val="none" w:sz="0" w:space="0" w:color="auto"/>
                    <w:bottom w:val="none" w:sz="0" w:space="0" w:color="auto"/>
                    <w:right w:val="none" w:sz="0" w:space="0" w:color="auto"/>
                  </w:divBdr>
                </w:div>
                <w:div w:id="906382991">
                  <w:marLeft w:val="0"/>
                  <w:marRight w:val="0"/>
                  <w:marTop w:val="0"/>
                  <w:marBottom w:val="0"/>
                  <w:divBdr>
                    <w:top w:val="none" w:sz="0" w:space="0" w:color="auto"/>
                    <w:left w:val="none" w:sz="0" w:space="0" w:color="auto"/>
                    <w:bottom w:val="none" w:sz="0" w:space="0" w:color="auto"/>
                    <w:right w:val="none" w:sz="0" w:space="0" w:color="auto"/>
                  </w:divBdr>
                  <w:divsChild>
                    <w:div w:id="1176110302">
                      <w:marLeft w:val="0"/>
                      <w:marRight w:val="0"/>
                      <w:marTop w:val="0"/>
                      <w:marBottom w:val="0"/>
                      <w:divBdr>
                        <w:top w:val="none" w:sz="0" w:space="0" w:color="auto"/>
                        <w:left w:val="none" w:sz="0" w:space="0" w:color="auto"/>
                        <w:bottom w:val="none" w:sz="0" w:space="0" w:color="auto"/>
                        <w:right w:val="none" w:sz="0" w:space="0" w:color="auto"/>
                      </w:divBdr>
                    </w:div>
                    <w:div w:id="1266382604">
                      <w:marLeft w:val="0"/>
                      <w:marRight w:val="0"/>
                      <w:marTop w:val="0"/>
                      <w:marBottom w:val="0"/>
                      <w:divBdr>
                        <w:top w:val="none" w:sz="0" w:space="0" w:color="auto"/>
                        <w:left w:val="none" w:sz="0" w:space="0" w:color="auto"/>
                        <w:bottom w:val="none" w:sz="0" w:space="0" w:color="auto"/>
                        <w:right w:val="none" w:sz="0" w:space="0" w:color="auto"/>
                      </w:divBdr>
                    </w:div>
                    <w:div w:id="994528820">
                      <w:marLeft w:val="0"/>
                      <w:marRight w:val="0"/>
                      <w:marTop w:val="0"/>
                      <w:marBottom w:val="0"/>
                      <w:divBdr>
                        <w:top w:val="none" w:sz="0" w:space="0" w:color="auto"/>
                        <w:left w:val="none" w:sz="0" w:space="0" w:color="auto"/>
                        <w:bottom w:val="none" w:sz="0" w:space="0" w:color="auto"/>
                        <w:right w:val="none" w:sz="0" w:space="0" w:color="auto"/>
                      </w:divBdr>
                    </w:div>
                  </w:divsChild>
                </w:div>
                <w:div w:id="1910001076">
                  <w:marLeft w:val="0"/>
                  <w:marRight w:val="0"/>
                  <w:marTop w:val="0"/>
                  <w:marBottom w:val="0"/>
                  <w:divBdr>
                    <w:top w:val="none" w:sz="0" w:space="0" w:color="auto"/>
                    <w:left w:val="none" w:sz="0" w:space="0" w:color="auto"/>
                    <w:bottom w:val="none" w:sz="0" w:space="0" w:color="auto"/>
                    <w:right w:val="none" w:sz="0" w:space="0" w:color="auto"/>
                  </w:divBdr>
                </w:div>
                <w:div w:id="279458110">
                  <w:marLeft w:val="0"/>
                  <w:marRight w:val="0"/>
                  <w:marTop w:val="0"/>
                  <w:marBottom w:val="0"/>
                  <w:divBdr>
                    <w:top w:val="none" w:sz="0" w:space="0" w:color="auto"/>
                    <w:left w:val="none" w:sz="0" w:space="0" w:color="auto"/>
                    <w:bottom w:val="none" w:sz="0" w:space="0" w:color="auto"/>
                    <w:right w:val="none" w:sz="0" w:space="0" w:color="auto"/>
                  </w:divBdr>
                </w:div>
                <w:div w:id="2041198392">
                  <w:marLeft w:val="0"/>
                  <w:marRight w:val="0"/>
                  <w:marTop w:val="0"/>
                  <w:marBottom w:val="0"/>
                  <w:divBdr>
                    <w:top w:val="none" w:sz="0" w:space="0" w:color="auto"/>
                    <w:left w:val="none" w:sz="0" w:space="0" w:color="auto"/>
                    <w:bottom w:val="none" w:sz="0" w:space="0" w:color="auto"/>
                    <w:right w:val="none" w:sz="0" w:space="0" w:color="auto"/>
                  </w:divBdr>
                  <w:divsChild>
                    <w:div w:id="93214305">
                      <w:marLeft w:val="0"/>
                      <w:marRight w:val="0"/>
                      <w:marTop w:val="0"/>
                      <w:marBottom w:val="0"/>
                      <w:divBdr>
                        <w:top w:val="none" w:sz="0" w:space="0" w:color="auto"/>
                        <w:left w:val="none" w:sz="0" w:space="0" w:color="auto"/>
                        <w:bottom w:val="none" w:sz="0" w:space="0" w:color="auto"/>
                        <w:right w:val="none" w:sz="0" w:space="0" w:color="auto"/>
                      </w:divBdr>
                      <w:divsChild>
                        <w:div w:id="5181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5906">
                  <w:marLeft w:val="0"/>
                  <w:marRight w:val="0"/>
                  <w:marTop w:val="0"/>
                  <w:marBottom w:val="0"/>
                  <w:divBdr>
                    <w:top w:val="none" w:sz="0" w:space="0" w:color="auto"/>
                    <w:left w:val="none" w:sz="0" w:space="0" w:color="auto"/>
                    <w:bottom w:val="none" w:sz="0" w:space="0" w:color="auto"/>
                    <w:right w:val="none" w:sz="0" w:space="0" w:color="auto"/>
                  </w:divBdr>
                </w:div>
                <w:div w:id="1433427877">
                  <w:marLeft w:val="0"/>
                  <w:marRight w:val="0"/>
                  <w:marTop w:val="0"/>
                  <w:marBottom w:val="0"/>
                  <w:divBdr>
                    <w:top w:val="none" w:sz="0" w:space="0" w:color="auto"/>
                    <w:left w:val="none" w:sz="0" w:space="0" w:color="auto"/>
                    <w:bottom w:val="none" w:sz="0" w:space="0" w:color="auto"/>
                    <w:right w:val="none" w:sz="0" w:space="0" w:color="auto"/>
                  </w:divBdr>
                </w:div>
                <w:div w:id="39288474">
                  <w:marLeft w:val="0"/>
                  <w:marRight w:val="0"/>
                  <w:marTop w:val="0"/>
                  <w:marBottom w:val="0"/>
                  <w:divBdr>
                    <w:top w:val="none" w:sz="0" w:space="0" w:color="auto"/>
                    <w:left w:val="none" w:sz="0" w:space="0" w:color="auto"/>
                    <w:bottom w:val="none" w:sz="0" w:space="0" w:color="auto"/>
                    <w:right w:val="none" w:sz="0" w:space="0" w:color="auto"/>
                  </w:divBdr>
                  <w:divsChild>
                    <w:div w:id="1419325397">
                      <w:marLeft w:val="0"/>
                      <w:marRight w:val="0"/>
                      <w:marTop w:val="0"/>
                      <w:marBottom w:val="0"/>
                      <w:divBdr>
                        <w:top w:val="none" w:sz="0" w:space="0" w:color="auto"/>
                        <w:left w:val="none" w:sz="0" w:space="0" w:color="auto"/>
                        <w:bottom w:val="none" w:sz="0" w:space="0" w:color="auto"/>
                        <w:right w:val="none" w:sz="0" w:space="0" w:color="auto"/>
                      </w:divBdr>
                      <w:divsChild>
                        <w:div w:id="1887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785">
                  <w:marLeft w:val="0"/>
                  <w:marRight w:val="0"/>
                  <w:marTop w:val="0"/>
                  <w:marBottom w:val="0"/>
                  <w:divBdr>
                    <w:top w:val="none" w:sz="0" w:space="0" w:color="auto"/>
                    <w:left w:val="none" w:sz="0" w:space="0" w:color="auto"/>
                    <w:bottom w:val="none" w:sz="0" w:space="0" w:color="auto"/>
                    <w:right w:val="none" w:sz="0" w:space="0" w:color="auto"/>
                  </w:divBdr>
                </w:div>
                <w:div w:id="1816993142">
                  <w:marLeft w:val="0"/>
                  <w:marRight w:val="0"/>
                  <w:marTop w:val="0"/>
                  <w:marBottom w:val="0"/>
                  <w:divBdr>
                    <w:top w:val="none" w:sz="0" w:space="0" w:color="auto"/>
                    <w:left w:val="none" w:sz="0" w:space="0" w:color="auto"/>
                    <w:bottom w:val="none" w:sz="0" w:space="0" w:color="auto"/>
                    <w:right w:val="none" w:sz="0" w:space="0" w:color="auto"/>
                  </w:divBdr>
                </w:div>
                <w:div w:id="1109661595">
                  <w:marLeft w:val="0"/>
                  <w:marRight w:val="0"/>
                  <w:marTop w:val="0"/>
                  <w:marBottom w:val="0"/>
                  <w:divBdr>
                    <w:top w:val="none" w:sz="0" w:space="0" w:color="auto"/>
                    <w:left w:val="none" w:sz="0" w:space="0" w:color="auto"/>
                    <w:bottom w:val="none" w:sz="0" w:space="0" w:color="auto"/>
                    <w:right w:val="none" w:sz="0" w:space="0" w:color="auto"/>
                  </w:divBdr>
                </w:div>
                <w:div w:id="1900165407">
                  <w:marLeft w:val="0"/>
                  <w:marRight w:val="0"/>
                  <w:marTop w:val="0"/>
                  <w:marBottom w:val="0"/>
                  <w:divBdr>
                    <w:top w:val="none" w:sz="0" w:space="0" w:color="auto"/>
                    <w:left w:val="none" w:sz="0" w:space="0" w:color="auto"/>
                    <w:bottom w:val="none" w:sz="0" w:space="0" w:color="auto"/>
                    <w:right w:val="none" w:sz="0" w:space="0" w:color="auto"/>
                  </w:divBdr>
                  <w:divsChild>
                    <w:div w:id="455948295">
                      <w:marLeft w:val="0"/>
                      <w:marRight w:val="0"/>
                      <w:marTop w:val="0"/>
                      <w:marBottom w:val="0"/>
                      <w:divBdr>
                        <w:top w:val="none" w:sz="0" w:space="0" w:color="auto"/>
                        <w:left w:val="none" w:sz="0" w:space="0" w:color="auto"/>
                        <w:bottom w:val="none" w:sz="0" w:space="0" w:color="auto"/>
                        <w:right w:val="none" w:sz="0" w:space="0" w:color="auto"/>
                      </w:divBdr>
                      <w:divsChild>
                        <w:div w:id="7705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0673">
                  <w:marLeft w:val="0"/>
                  <w:marRight w:val="0"/>
                  <w:marTop w:val="0"/>
                  <w:marBottom w:val="0"/>
                  <w:divBdr>
                    <w:top w:val="none" w:sz="0" w:space="0" w:color="auto"/>
                    <w:left w:val="none" w:sz="0" w:space="0" w:color="auto"/>
                    <w:bottom w:val="none" w:sz="0" w:space="0" w:color="auto"/>
                    <w:right w:val="none" w:sz="0" w:space="0" w:color="auto"/>
                  </w:divBdr>
                  <w:divsChild>
                    <w:div w:id="1210531164">
                      <w:marLeft w:val="0"/>
                      <w:marRight w:val="0"/>
                      <w:marTop w:val="0"/>
                      <w:marBottom w:val="0"/>
                      <w:divBdr>
                        <w:top w:val="none" w:sz="0" w:space="0" w:color="auto"/>
                        <w:left w:val="none" w:sz="0" w:space="0" w:color="auto"/>
                        <w:bottom w:val="none" w:sz="0" w:space="0" w:color="auto"/>
                        <w:right w:val="none" w:sz="0" w:space="0" w:color="auto"/>
                      </w:divBdr>
                      <w:divsChild>
                        <w:div w:id="1798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0770">
                  <w:marLeft w:val="0"/>
                  <w:marRight w:val="0"/>
                  <w:marTop w:val="0"/>
                  <w:marBottom w:val="0"/>
                  <w:divBdr>
                    <w:top w:val="none" w:sz="0" w:space="0" w:color="auto"/>
                    <w:left w:val="none" w:sz="0" w:space="0" w:color="auto"/>
                    <w:bottom w:val="none" w:sz="0" w:space="0" w:color="auto"/>
                    <w:right w:val="none" w:sz="0" w:space="0" w:color="auto"/>
                  </w:divBdr>
                </w:div>
                <w:div w:id="7469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upal.unbc.ca/genetics/training/fragment-sizing" TargetMode="External"/><Relationship Id="rId13" Type="http://schemas.openxmlformats.org/officeDocument/2006/relationships/hyperlink" Target="https://drupal.unbc.ca/genetics/genetic_links/index.html" TargetMode="External"/><Relationship Id="rId18" Type="http://schemas.openxmlformats.org/officeDocument/2006/relationships/hyperlink" Target="http://web.unbc.ca/~egge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drupal.unbc.ca/genetics/training/fragment-sizing" TargetMode="External"/><Relationship Id="rId12" Type="http://schemas.openxmlformats.org/officeDocument/2006/relationships/hyperlink" Target="https://drupal.unbc.ca/genetics/links/index.html" TargetMode="External"/><Relationship Id="rId17" Type="http://schemas.openxmlformats.org/officeDocument/2006/relationships/hyperlink" Target="http://web.unbc.ca/~egger/" TargetMode="External"/><Relationship Id="rId2" Type="http://schemas.openxmlformats.org/officeDocument/2006/relationships/styles" Target="styles.xml"/><Relationship Id="rId16" Type="http://schemas.openxmlformats.org/officeDocument/2006/relationships/hyperlink" Target="http://www.zoo.cam.ac.uk/zoostaff/amos/" TargetMode="External"/><Relationship Id="rId20" Type="http://schemas.openxmlformats.org/officeDocument/2006/relationships/hyperlink" Target="http://csnet.otago.ac.nz/cosc453/student_tutorials/principal_components.pdf" TargetMode="External"/><Relationship Id="rId1" Type="http://schemas.openxmlformats.org/officeDocument/2006/relationships/numbering" Target="numbering.xml"/><Relationship Id="rId6" Type="http://schemas.openxmlformats.org/officeDocument/2006/relationships/hyperlink" Target="https://drupal.unbc.ca/genetics/training/fragment-sizing" TargetMode="External"/><Relationship Id="rId11" Type="http://schemas.openxmlformats.org/officeDocument/2006/relationships/hyperlink" Target="https://drupal.unbc.ca/genetics/training/fragment-sizing"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drupal.unbc.ca/genetics/training/fragment-sizing" TargetMode="External"/><Relationship Id="rId19" Type="http://schemas.openxmlformats.org/officeDocument/2006/relationships/hyperlink" Target="https://drupal.unbc.ca/genetics/genetic_links/index.html" TargetMode="External"/><Relationship Id="rId4" Type="http://schemas.openxmlformats.org/officeDocument/2006/relationships/settings" Target="settings.xml"/><Relationship Id="rId9" Type="http://schemas.openxmlformats.org/officeDocument/2006/relationships/hyperlink" Target="https://drupal.unbc.ca/genetics/training/fragment-sizing" TargetMode="External"/><Relationship Id="rId14" Type="http://schemas.openxmlformats.org/officeDocument/2006/relationships/hyperlink" Target="https://drupal.unbc.ca/genetics/genetic_links/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2311</Words>
  <Characters>13176</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Fragment Sizing</vt:lpstr>
    </vt:vector>
  </TitlesOfParts>
  <Company>UNBC</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dcterms:created xsi:type="dcterms:W3CDTF">2013-06-19T18:40:00Z</dcterms:created>
  <dcterms:modified xsi:type="dcterms:W3CDTF">2013-06-19T18:40:00Z</dcterms:modified>
</cp:coreProperties>
</file>