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B9" w:rsidRPr="00797A30" w:rsidRDefault="00331EB9" w:rsidP="00AA49DE">
      <w:pPr>
        <w:contextualSpacing/>
        <w:rPr>
          <w:rFonts w:ascii="Gill Sans MT" w:hAnsi="Gill Sans MT" w:cs="Arial"/>
          <w:sz w:val="22"/>
          <w:szCs w:val="22"/>
        </w:rPr>
      </w:pPr>
    </w:p>
    <w:p w:rsidR="005D64E2" w:rsidRPr="00797A30" w:rsidRDefault="005D64E2" w:rsidP="00AA49DE">
      <w:pPr>
        <w:contextualSpacing/>
        <w:rPr>
          <w:rFonts w:ascii="Gill Sans MT" w:hAnsi="Gill Sans MT" w:cs="Arial"/>
          <w:sz w:val="22"/>
          <w:szCs w:val="22"/>
        </w:rPr>
      </w:pPr>
    </w:p>
    <w:p w:rsidR="005D64E2" w:rsidRPr="00797A30" w:rsidRDefault="005D64E2" w:rsidP="00AA49DE">
      <w:pPr>
        <w:jc w:val="center"/>
        <w:rPr>
          <w:rFonts w:ascii="Gill Sans MT" w:hAnsi="Gill Sans MT" w:cs="Gill Sans"/>
          <w:b/>
          <w:sz w:val="28"/>
          <w:szCs w:val="28"/>
          <w:u w:val="single"/>
        </w:rPr>
      </w:pPr>
      <w:r w:rsidRPr="00797A30">
        <w:rPr>
          <w:rFonts w:ascii="Gill Sans MT" w:hAnsi="Gill Sans MT" w:cs="Gill Sans"/>
          <w:b/>
          <w:sz w:val="28"/>
          <w:szCs w:val="28"/>
          <w:u w:val="single"/>
        </w:rPr>
        <w:t>References and Footnotes for the</w:t>
      </w:r>
    </w:p>
    <w:p w:rsidR="005D64E2" w:rsidRPr="00797A30" w:rsidRDefault="00AA49DE" w:rsidP="00AA49DE">
      <w:pPr>
        <w:jc w:val="center"/>
        <w:rPr>
          <w:rFonts w:ascii="Gill Sans MT" w:hAnsi="Gill Sans MT" w:cs="Gill Sans"/>
          <w:b/>
          <w:sz w:val="28"/>
          <w:szCs w:val="28"/>
          <w:u w:val="single"/>
        </w:rPr>
      </w:pPr>
      <w:r w:rsidRPr="00797A30">
        <w:rPr>
          <w:rFonts w:ascii="Gill Sans MT" w:hAnsi="Gill Sans MT" w:cs="Gill Sans"/>
          <w:b/>
          <w:sz w:val="28"/>
          <w:szCs w:val="28"/>
          <w:u w:val="single"/>
        </w:rPr>
        <w:t xml:space="preserve">Regional District of </w:t>
      </w:r>
      <w:proofErr w:type="spellStart"/>
      <w:r w:rsidRPr="00797A30">
        <w:rPr>
          <w:rFonts w:ascii="Gill Sans MT" w:hAnsi="Gill Sans MT" w:cs="Gill Sans"/>
          <w:b/>
          <w:sz w:val="28"/>
          <w:szCs w:val="28"/>
          <w:u w:val="single"/>
        </w:rPr>
        <w:t>Bulkley</w:t>
      </w:r>
      <w:proofErr w:type="spellEnd"/>
      <w:r w:rsidRPr="00797A30">
        <w:rPr>
          <w:rFonts w:ascii="Gill Sans MT" w:hAnsi="Gill Sans MT" w:cs="Gill Sans"/>
          <w:b/>
          <w:sz w:val="28"/>
          <w:szCs w:val="28"/>
          <w:u w:val="single"/>
        </w:rPr>
        <w:t>-Nechako</w:t>
      </w:r>
      <w:r w:rsidR="005D64E2" w:rsidRPr="00797A30">
        <w:rPr>
          <w:rFonts w:ascii="Gill Sans MT" w:hAnsi="Gill Sans MT" w:cs="Gill Sans"/>
          <w:b/>
          <w:sz w:val="28"/>
          <w:szCs w:val="28"/>
          <w:u w:val="single"/>
        </w:rPr>
        <w:t xml:space="preserve"> Integrated Regional Profile</w:t>
      </w:r>
    </w:p>
    <w:p w:rsidR="005D64E2" w:rsidRPr="00797A30" w:rsidRDefault="005D64E2" w:rsidP="00AA49DE">
      <w:pPr>
        <w:rPr>
          <w:rFonts w:ascii="Gill Sans MT" w:hAnsi="Gill Sans MT" w:cs="Gill Sans"/>
          <w:b/>
          <w:sz w:val="22"/>
          <w:szCs w:val="22"/>
          <w:u w:val="single"/>
        </w:rPr>
      </w:pPr>
    </w:p>
    <w:p w:rsidR="00AA49DE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All data for regional demographics, indigenous population, education, employment and housing from 1991 – 2006 and 2016 was extracted from the </w:t>
      </w:r>
      <w:proofErr w:type="spellStart"/>
      <w:r w:rsidRPr="00797A30">
        <w:rPr>
          <w:rFonts w:ascii="Gill Sans MT" w:hAnsi="Gill Sans MT" w:cs="Gill Sans"/>
          <w:color w:val="auto"/>
          <w:sz w:val="22"/>
          <w:szCs w:val="22"/>
        </w:rPr>
        <w:t>Bulkley</w:t>
      </w:r>
      <w:proofErr w:type="spellEnd"/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-Nechako Regional District (Census Division) of the </w:t>
      </w:r>
      <w:r w:rsidRPr="00797A30">
        <w:rPr>
          <w:rFonts w:ascii="Gill Sans MT" w:hAnsi="Gill Sans MT" w:cs="Gill Sans"/>
          <w:i/>
          <w:iCs/>
          <w:color w:val="auto"/>
          <w:sz w:val="22"/>
          <w:szCs w:val="22"/>
        </w:rPr>
        <w:t>Canadian Census</w:t>
      </w: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 [SOURCE: Statistics Canada. (1991, 1996, 2001, 2006, 2016). </w:t>
      </w:r>
      <w:proofErr w:type="spellStart"/>
      <w:r w:rsidRPr="00797A30">
        <w:rPr>
          <w:rFonts w:ascii="Gill Sans MT" w:hAnsi="Gill Sans MT" w:cs="Gill Sans"/>
          <w:i/>
          <w:iCs/>
          <w:color w:val="auto"/>
          <w:sz w:val="22"/>
          <w:szCs w:val="22"/>
        </w:rPr>
        <w:t>Bulkley</w:t>
      </w:r>
      <w:proofErr w:type="spellEnd"/>
      <w:r w:rsidRPr="00797A30">
        <w:rPr>
          <w:rFonts w:ascii="Gill Sans MT" w:hAnsi="Gill Sans MT" w:cs="Gill Sans"/>
          <w:i/>
          <w:iCs/>
          <w:color w:val="auto"/>
          <w:sz w:val="22"/>
          <w:szCs w:val="22"/>
        </w:rPr>
        <w:t>-Nechako, Regional District,</w:t>
      </w:r>
      <w:r w:rsidRPr="00797A30">
        <w:rPr>
          <w:rFonts w:ascii="Gill Sans MT" w:hAnsi="Gill Sans MT" w:cs="Gill Sans"/>
          <w:iCs/>
          <w:color w:val="auto"/>
          <w:sz w:val="22"/>
          <w:szCs w:val="22"/>
        </w:rPr>
        <w:t xml:space="preserve"> </w:t>
      </w:r>
      <w:r w:rsidRPr="00797A30">
        <w:rPr>
          <w:rFonts w:ascii="Gill Sans MT" w:hAnsi="Gill Sans MT" w:cs="Gill Sans"/>
          <w:i/>
          <w:iCs/>
          <w:color w:val="auto"/>
          <w:sz w:val="22"/>
          <w:szCs w:val="22"/>
        </w:rPr>
        <w:t>British Columbia</w:t>
      </w:r>
      <w:r w:rsidRPr="00797A30">
        <w:rPr>
          <w:rFonts w:ascii="Gill Sans MT" w:hAnsi="Gill Sans MT" w:cs="Gill Sans"/>
          <w:iCs/>
          <w:color w:val="auto"/>
          <w:sz w:val="22"/>
          <w:szCs w:val="22"/>
        </w:rPr>
        <w:t xml:space="preserve">. </w:t>
      </w: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Census Profile. </w:t>
      </w:r>
      <w:r w:rsidRPr="00797A30">
        <w:rPr>
          <w:rFonts w:ascii="Gill Sans MT" w:hAnsi="Gill Sans MT" w:cs="Gill Sans"/>
          <w:i/>
          <w:iCs/>
          <w:color w:val="auto"/>
          <w:sz w:val="22"/>
          <w:szCs w:val="22"/>
        </w:rPr>
        <w:t xml:space="preserve">Census of Canadian Population. </w:t>
      </w:r>
      <w:r w:rsidRPr="00797A30">
        <w:rPr>
          <w:rFonts w:ascii="Gill Sans MT" w:hAnsi="Gill Sans MT" w:cs="Gill Sans"/>
          <w:color w:val="auto"/>
          <w:sz w:val="22"/>
          <w:szCs w:val="22"/>
        </w:rPr>
        <w:t>Ottawa, ON: Government of Canada].</w:t>
      </w:r>
      <w:r w:rsidRPr="00797A30">
        <w:rPr>
          <w:rFonts w:ascii="Gill Sans MT" w:hAnsi="Gill Sans MT" w:cs="Gill Sans"/>
          <w:color w:val="auto"/>
          <w:sz w:val="22"/>
          <w:szCs w:val="22"/>
        </w:rPr>
        <w:br/>
      </w:r>
    </w:p>
    <w:p w:rsidR="00AA49DE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All 2011 data for regional demographics, indigenous population, education, employment and housing was extracted from the </w:t>
      </w:r>
      <w:proofErr w:type="spellStart"/>
      <w:r w:rsidRPr="00797A30">
        <w:rPr>
          <w:rFonts w:ascii="Gill Sans MT" w:hAnsi="Gill Sans MT" w:cs="Gill Sans"/>
          <w:color w:val="auto"/>
          <w:sz w:val="22"/>
          <w:szCs w:val="22"/>
        </w:rPr>
        <w:t>Bulkley</w:t>
      </w:r>
      <w:proofErr w:type="spellEnd"/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-Nechako Regional District (Census Division) of the </w:t>
      </w:r>
      <w:r w:rsidRPr="00797A30">
        <w:rPr>
          <w:rFonts w:ascii="Gill Sans MT" w:hAnsi="Gill Sans MT" w:cs="Gill Sans"/>
          <w:i/>
          <w:iCs/>
          <w:color w:val="auto"/>
          <w:sz w:val="22"/>
          <w:szCs w:val="22"/>
        </w:rPr>
        <w:t>National Household Survey of Canada</w:t>
      </w:r>
      <w:r w:rsidRPr="00797A30">
        <w:rPr>
          <w:rFonts w:ascii="Gill Sans MT" w:hAnsi="Gill Sans MT" w:cs="Gill Sans"/>
          <w:color w:val="auto"/>
          <w:sz w:val="22"/>
          <w:szCs w:val="22"/>
        </w:rPr>
        <w:t>, due to missing the long form census in 2011 [SOURCE: Statistics Canada. (2013). </w:t>
      </w:r>
      <w:proofErr w:type="spellStart"/>
      <w:r w:rsidRPr="00797A30">
        <w:rPr>
          <w:rFonts w:ascii="Gill Sans MT" w:hAnsi="Gill Sans MT" w:cs="Gill Sans"/>
          <w:i/>
          <w:iCs/>
          <w:color w:val="auto"/>
          <w:sz w:val="22"/>
          <w:szCs w:val="22"/>
        </w:rPr>
        <w:t>Bulkley</w:t>
      </w:r>
      <w:proofErr w:type="spellEnd"/>
      <w:r w:rsidRPr="00797A30">
        <w:rPr>
          <w:rFonts w:ascii="Gill Sans MT" w:hAnsi="Gill Sans MT" w:cs="Gill Sans"/>
          <w:i/>
          <w:iCs/>
          <w:color w:val="auto"/>
          <w:sz w:val="22"/>
          <w:szCs w:val="22"/>
        </w:rPr>
        <w:t>-Nechako, Regional District, British Columbia (Code 5951)</w:t>
      </w:r>
      <w:r w:rsidRPr="00797A30">
        <w:rPr>
          <w:rFonts w:ascii="Gill Sans MT" w:hAnsi="Gill Sans MT" w:cs="Gill Sans"/>
          <w:color w:val="auto"/>
          <w:sz w:val="22"/>
          <w:szCs w:val="22"/>
        </w:rPr>
        <w:t> (table). </w:t>
      </w:r>
      <w:r w:rsidRPr="00797A30">
        <w:rPr>
          <w:rFonts w:ascii="Gill Sans MT" w:hAnsi="Gill Sans MT" w:cs="Gill Sans"/>
          <w:i/>
          <w:iCs/>
          <w:color w:val="auto"/>
          <w:sz w:val="22"/>
          <w:szCs w:val="22"/>
        </w:rPr>
        <w:t>National Household Survey (NHS) Profile</w:t>
      </w:r>
      <w:r w:rsidRPr="00797A30">
        <w:rPr>
          <w:rFonts w:ascii="Gill Sans MT" w:hAnsi="Gill Sans MT" w:cs="Gill Sans"/>
          <w:color w:val="auto"/>
          <w:sz w:val="22"/>
          <w:szCs w:val="22"/>
        </w:rPr>
        <w:t>. 2011 National Household Survey. Statistics Canada Catalogue no. 99-004-XWE. Ottawa. Released September 11, 2013].</w:t>
      </w:r>
      <w:r w:rsidRPr="00797A30">
        <w:rPr>
          <w:rFonts w:ascii="Gill Sans MT" w:hAnsi="Gill Sans MT" w:cs="Gill Sans"/>
          <w:color w:val="auto"/>
          <w:sz w:val="22"/>
          <w:szCs w:val="22"/>
        </w:rPr>
        <w:br/>
      </w:r>
    </w:p>
    <w:p w:rsidR="00AA49DE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  <w:r w:rsidRPr="00797A30">
        <w:rPr>
          <w:rFonts w:ascii="Gill Sans MT" w:hAnsi="Gill Sans MT" w:cs="Gill Sans"/>
          <w:color w:val="auto"/>
          <w:sz w:val="22"/>
          <w:szCs w:val="22"/>
        </w:rPr>
        <w:t>All ‘Health’ and ‘Community Belonging’ data from 2003-2013 were extracted from the</w:t>
      </w:r>
      <w:r w:rsidRPr="00797A30">
        <w:rPr>
          <w:rFonts w:ascii="Gill Sans MT" w:eastAsia="PMingLiU" w:hAnsi="Gill Sans MT" w:cs="Gill Sans"/>
          <w:color w:val="auto"/>
          <w:sz w:val="22"/>
          <w:szCs w:val="22"/>
        </w:rPr>
        <w:br/>
      </w: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Northern Interior Local Health Area—an area that includes the </w:t>
      </w:r>
      <w:proofErr w:type="spellStart"/>
      <w:r w:rsidRPr="00797A30">
        <w:rPr>
          <w:rFonts w:ascii="Gill Sans MT" w:hAnsi="Gill Sans MT" w:cs="Gill Sans"/>
          <w:iCs/>
          <w:color w:val="auto"/>
          <w:sz w:val="22"/>
          <w:szCs w:val="22"/>
        </w:rPr>
        <w:t>Bulkley</w:t>
      </w:r>
      <w:proofErr w:type="spellEnd"/>
      <w:r w:rsidRPr="00797A30">
        <w:rPr>
          <w:rFonts w:ascii="Gill Sans MT" w:hAnsi="Gill Sans MT" w:cs="Gill Sans"/>
          <w:iCs/>
          <w:color w:val="auto"/>
          <w:sz w:val="22"/>
          <w:szCs w:val="22"/>
        </w:rPr>
        <w:t>-Nechako</w:t>
      </w: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 Regional District—of the </w:t>
      </w:r>
      <w:r w:rsidRPr="00797A30">
        <w:rPr>
          <w:rFonts w:ascii="Gill Sans MT" w:hAnsi="Gill Sans MT" w:cs="Gill Sans"/>
          <w:i/>
          <w:iCs/>
          <w:color w:val="auto"/>
          <w:sz w:val="22"/>
          <w:szCs w:val="22"/>
        </w:rPr>
        <w:t>Canadian Community Health Survey</w:t>
      </w:r>
      <w:r w:rsidRPr="00797A30">
        <w:rPr>
          <w:rFonts w:ascii="Gill Sans MT" w:hAnsi="Gill Sans MT" w:cs="Gill Sans"/>
          <w:iCs/>
          <w:color w:val="auto"/>
          <w:sz w:val="22"/>
          <w:szCs w:val="22"/>
        </w:rPr>
        <w:t xml:space="preserve"> [SOURCE: </w:t>
      </w: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Statistics Canada. (2001, 2003, 2005, 2007, 2009, 2011, 2013). Community Profile, Northern Interior Local Health Area, </w:t>
      </w:r>
      <w:r w:rsidRPr="00797A30">
        <w:rPr>
          <w:rFonts w:ascii="Gill Sans MT" w:hAnsi="Gill Sans MT" w:cs="Gill Sans"/>
          <w:i/>
          <w:iCs/>
          <w:color w:val="auto"/>
          <w:sz w:val="22"/>
          <w:szCs w:val="22"/>
        </w:rPr>
        <w:t>Canadian Community Health Survey</w:t>
      </w:r>
      <w:r w:rsidRPr="00797A30">
        <w:rPr>
          <w:rFonts w:ascii="Gill Sans MT" w:hAnsi="Gill Sans MT" w:cs="Gill Sans"/>
          <w:color w:val="auto"/>
          <w:sz w:val="22"/>
          <w:szCs w:val="22"/>
        </w:rPr>
        <w:t>. Ottawa, ON: Government of Canada].</w:t>
      </w:r>
    </w:p>
    <w:p w:rsidR="00AA49DE" w:rsidRPr="00797A30" w:rsidRDefault="00AA49DE" w:rsidP="00797A30">
      <w:pPr>
        <w:rPr>
          <w:rFonts w:ascii="Gill Sans MT" w:hAnsi="Gill Sans MT" w:cs="Gill Sans"/>
          <w:iCs/>
          <w:sz w:val="22"/>
          <w:szCs w:val="22"/>
        </w:rPr>
      </w:pPr>
    </w:p>
    <w:p w:rsidR="00AA49DE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Gill Sans MT" w:hAnsi="Gill Sans MT" w:cs="Gill Sans"/>
          <w:iCs/>
          <w:color w:val="auto"/>
          <w:sz w:val="22"/>
          <w:szCs w:val="22"/>
        </w:rPr>
      </w:pPr>
      <w:r w:rsidRPr="00797A30">
        <w:rPr>
          <w:rFonts w:ascii="Gill Sans MT" w:hAnsi="Gill Sans MT" w:cs="Gill Sans"/>
          <w:iCs/>
          <w:color w:val="auto"/>
          <w:sz w:val="22"/>
          <w:szCs w:val="22"/>
        </w:rPr>
        <w:t xml:space="preserve">Comparative data for the two maps illustrating industrial resource activities in the </w:t>
      </w:r>
      <w:proofErr w:type="spellStart"/>
      <w:r w:rsidRPr="00797A30">
        <w:rPr>
          <w:rFonts w:ascii="Gill Sans MT" w:hAnsi="Gill Sans MT" w:cs="Gill Sans"/>
          <w:iCs/>
          <w:color w:val="auto"/>
          <w:sz w:val="22"/>
          <w:szCs w:val="22"/>
        </w:rPr>
        <w:t>Bulkley</w:t>
      </w:r>
      <w:proofErr w:type="spellEnd"/>
      <w:r w:rsidRPr="00797A30">
        <w:rPr>
          <w:rFonts w:ascii="Gill Sans MT" w:hAnsi="Gill Sans MT" w:cs="Gill Sans"/>
          <w:iCs/>
          <w:color w:val="auto"/>
          <w:sz w:val="22"/>
          <w:szCs w:val="22"/>
        </w:rPr>
        <w:t>-Nechako Regional District for 1996-2006 and 2006-2016 were extracted from the following sources:</w:t>
      </w:r>
    </w:p>
    <w:p w:rsidR="00AA49DE" w:rsidRPr="00797A30" w:rsidRDefault="00AA49DE" w:rsidP="00797A30">
      <w:pPr>
        <w:pStyle w:val="ListParagraph"/>
        <w:numPr>
          <w:ilvl w:val="0"/>
          <w:numId w:val="14"/>
        </w:numPr>
        <w:spacing w:after="160"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Pipeline: </w:t>
      </w:r>
      <w:hyperlink r:id="rId9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http://data-bcogc.opendata.arcgis.com/</w:t>
        </w:r>
      </w:hyperlink>
    </w:p>
    <w:p w:rsidR="00AA49DE" w:rsidRPr="00797A30" w:rsidRDefault="00AA49DE" w:rsidP="00797A30">
      <w:pPr>
        <w:pStyle w:val="ListParagraph"/>
        <w:numPr>
          <w:ilvl w:val="0"/>
          <w:numId w:val="14"/>
        </w:numPr>
        <w:spacing w:after="160"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Agricultural Land Reserve: </w:t>
      </w:r>
      <w:hyperlink r:id="rId10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https://catalogue.data.gov.bc.ca/dataset/alc-agricultural-land-reserve-lines</w:t>
        </w:r>
      </w:hyperlink>
    </w:p>
    <w:p w:rsidR="00AA49DE" w:rsidRPr="00797A30" w:rsidRDefault="00AA49DE" w:rsidP="00797A30">
      <w:pPr>
        <w:pStyle w:val="ListParagraph"/>
        <w:numPr>
          <w:ilvl w:val="0"/>
          <w:numId w:val="14"/>
        </w:numPr>
        <w:spacing w:after="160"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Cattle Range Tenure: </w:t>
      </w:r>
      <w:hyperlink r:id="rId11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https://catalogue.data.gov.bc.ca/dataset/range-tenure</w:t>
        </w:r>
      </w:hyperlink>
    </w:p>
    <w:p w:rsidR="00AA49DE" w:rsidRPr="00797A30" w:rsidRDefault="00AA49DE" w:rsidP="00797A30">
      <w:pPr>
        <w:pStyle w:val="ListParagraph"/>
        <w:numPr>
          <w:ilvl w:val="0"/>
          <w:numId w:val="14"/>
        </w:numPr>
        <w:spacing w:after="160"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Consolidated </w:t>
      </w:r>
      <w:proofErr w:type="spellStart"/>
      <w:r w:rsidRPr="00797A30">
        <w:rPr>
          <w:rFonts w:ascii="Gill Sans MT" w:hAnsi="Gill Sans MT" w:cs="Gill Sans"/>
          <w:color w:val="auto"/>
          <w:sz w:val="22"/>
          <w:szCs w:val="22"/>
        </w:rPr>
        <w:t>Cutblock</w:t>
      </w:r>
      <w:proofErr w:type="spellEnd"/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: </w:t>
      </w:r>
      <w:hyperlink r:id="rId12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https://www.for.gov.bc.ca/ftp/hts/external/!publish/consolidated_cutblocks/</w:t>
        </w:r>
      </w:hyperlink>
    </w:p>
    <w:p w:rsidR="00AA49DE" w:rsidRPr="00797A30" w:rsidRDefault="00AA49DE" w:rsidP="00797A30">
      <w:pPr>
        <w:pStyle w:val="ListParagraph"/>
        <w:numPr>
          <w:ilvl w:val="0"/>
          <w:numId w:val="14"/>
        </w:numPr>
        <w:spacing w:after="160"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Major Projects: </w:t>
      </w:r>
      <w:hyperlink r:id="rId13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https://catalogue.data.gov.bc.ca/dataset/natural-resource-sector-majorprojects-points</w:t>
        </w:r>
      </w:hyperlink>
    </w:p>
    <w:p w:rsidR="00AA49DE" w:rsidRPr="00797A30" w:rsidRDefault="00AA49DE" w:rsidP="00797A30">
      <w:pPr>
        <w:pStyle w:val="ListParagraph"/>
        <w:numPr>
          <w:ilvl w:val="0"/>
          <w:numId w:val="14"/>
        </w:numPr>
        <w:spacing w:after="160"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Intact Forest Land (2013), Intact Forest Land loss (from 2000): </w:t>
      </w:r>
      <w:hyperlink r:id="rId14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http://www.intactforests.org/data.ifl.html</w:t>
        </w:r>
      </w:hyperlink>
    </w:p>
    <w:p w:rsidR="00AA49DE" w:rsidRPr="00797A30" w:rsidRDefault="00AA49DE" w:rsidP="00797A30">
      <w:pPr>
        <w:pStyle w:val="ListParagraph"/>
        <w:numPr>
          <w:ilvl w:val="0"/>
          <w:numId w:val="14"/>
        </w:numPr>
        <w:spacing w:after="160"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First Nation Community Location: </w:t>
      </w:r>
      <w:hyperlink r:id="rId15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https://catalogue.data.gov.bc.ca/dataset/first-nationcommunity-locations/resource/7b9fcb21-ea43-46b1-a4e6-45c241bc6a88</w:t>
        </w:r>
      </w:hyperlink>
    </w:p>
    <w:p w:rsidR="00AA49DE" w:rsidRPr="00797A30" w:rsidRDefault="00AA49DE" w:rsidP="00797A30">
      <w:pPr>
        <w:pStyle w:val="ListParagraph"/>
        <w:numPr>
          <w:ilvl w:val="0"/>
          <w:numId w:val="14"/>
        </w:numPr>
        <w:spacing w:after="160"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Major Highways: </w:t>
      </w:r>
      <w:hyperlink r:id="rId16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http://www.empr.gov.bc.ca/Mining/Geoscience/MapPlace/geoData/Pages/default.aspx</w:t>
        </w:r>
      </w:hyperlink>
    </w:p>
    <w:p w:rsidR="00797A30" w:rsidRDefault="00797A30" w:rsidP="00797A30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AA49DE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Matthews, C. et al. (2015). ‘Climate Change and Resource Development Scenarios for the Nechako Watershed: Workshop Report May 2015.’ Prince George: University of Northern BC. </w:t>
      </w:r>
    </w:p>
    <w:p w:rsidR="00AA49DE" w:rsidRPr="00797A30" w:rsidRDefault="00AA49DE" w:rsidP="00797A30">
      <w:pPr>
        <w:rPr>
          <w:rFonts w:ascii="Gill Sans MT" w:hAnsi="Gill Sans MT" w:cs="Gill Sans"/>
          <w:sz w:val="22"/>
          <w:szCs w:val="22"/>
        </w:rPr>
      </w:pPr>
    </w:p>
    <w:p w:rsidR="00AA49DE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Pacific Climate Impacts Consortium (PCIC) (2017). </w:t>
      </w:r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Summary of Climate Change for </w:t>
      </w:r>
      <w:proofErr w:type="spell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Bulkley</w:t>
      </w:r>
      <w:proofErr w:type="spell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-Nechako in the 2050s</w:t>
      </w: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. Available </w:t>
      </w:r>
      <w:proofErr w:type="spellStart"/>
      <w:r w:rsidRPr="00797A30">
        <w:rPr>
          <w:rFonts w:ascii="Gill Sans MT" w:hAnsi="Gill Sans MT" w:cs="Gill Sans"/>
          <w:color w:val="auto"/>
          <w:sz w:val="22"/>
          <w:szCs w:val="22"/>
        </w:rPr>
        <w:t>at:</w:t>
      </w:r>
      <w:hyperlink r:id="rId17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</w:t>
        </w:r>
        <w:proofErr w:type="spellEnd"/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://www.plan2adapt.ca/tools/planners?pr=2&amp;ts=8&amp;toy=16</w:t>
        </w:r>
      </w:hyperlink>
    </w:p>
    <w:p w:rsidR="00AA49DE" w:rsidRPr="00797A30" w:rsidRDefault="00AA49DE" w:rsidP="00797A30">
      <w:pPr>
        <w:rPr>
          <w:rFonts w:ascii="Gill Sans MT" w:hAnsi="Gill Sans MT" w:cs="Gill Sans"/>
          <w:iCs/>
          <w:sz w:val="22"/>
          <w:szCs w:val="22"/>
        </w:rPr>
      </w:pPr>
    </w:p>
    <w:p w:rsidR="00AA49DE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Style w:val="Hyperlink"/>
          <w:rFonts w:ascii="Gill Sans MT" w:hAnsi="Gill Sans MT" w:cs="Gill Sans"/>
          <w:color w:val="auto"/>
          <w:sz w:val="22"/>
          <w:szCs w:val="22"/>
        </w:rPr>
      </w:pPr>
      <w:r w:rsidRPr="00797A30">
        <w:rPr>
          <w:rFonts w:ascii="Gill Sans MT" w:hAnsi="Gill Sans MT" w:cs="Gill Sans"/>
          <w:bCs/>
          <w:color w:val="auto"/>
          <w:sz w:val="22"/>
          <w:szCs w:val="22"/>
        </w:rPr>
        <w:lastRenderedPageBreak/>
        <w:t xml:space="preserve">BC Lung Association (2016). </w:t>
      </w:r>
      <w:r w:rsidRPr="00797A30">
        <w:rPr>
          <w:rFonts w:ascii="Gill Sans MT" w:hAnsi="Gill Sans MT" w:cs="Gill Sans"/>
          <w:bCs/>
          <w:i/>
          <w:color w:val="auto"/>
          <w:sz w:val="22"/>
          <w:szCs w:val="22"/>
        </w:rPr>
        <w:t>State of the air 2016</w:t>
      </w:r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. Available at: </w:t>
      </w:r>
      <w:hyperlink r:id="rId18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https://bc.lung.ca/sites/default/files/media/1001-State%20Of%20The%20Air%202016_Web_rev10252016_0.pdf</w:t>
        </w:r>
      </w:hyperlink>
    </w:p>
    <w:p w:rsidR="00AA49DE" w:rsidRPr="00797A30" w:rsidRDefault="00AA49DE" w:rsidP="00797A30">
      <w:pPr>
        <w:rPr>
          <w:rFonts w:ascii="Gill Sans MT" w:hAnsi="Gill Sans MT" w:cs="Gill Sans"/>
          <w:bCs/>
          <w:sz w:val="22"/>
          <w:szCs w:val="22"/>
        </w:rPr>
      </w:pPr>
    </w:p>
    <w:p w:rsidR="00797A30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Cleanairplan.ca (2012). </w:t>
      </w:r>
      <w:r w:rsidRPr="00797A30">
        <w:rPr>
          <w:rFonts w:ascii="Gill Sans MT" w:hAnsi="Gill Sans MT" w:cs="Gill Sans"/>
          <w:bCs/>
          <w:i/>
          <w:color w:val="auto"/>
          <w:sz w:val="22"/>
          <w:szCs w:val="22"/>
        </w:rPr>
        <w:t xml:space="preserve">BVLD </w:t>
      </w:r>
      <w:proofErr w:type="spellStart"/>
      <w:r w:rsidRPr="00797A30">
        <w:rPr>
          <w:rFonts w:ascii="Gill Sans MT" w:hAnsi="Gill Sans MT" w:cs="Gill Sans"/>
          <w:bCs/>
          <w:i/>
          <w:color w:val="auto"/>
          <w:sz w:val="22"/>
          <w:szCs w:val="22"/>
        </w:rPr>
        <w:t>Airshed</w:t>
      </w:r>
      <w:proofErr w:type="spellEnd"/>
      <w:r w:rsidRPr="00797A30">
        <w:rPr>
          <w:rFonts w:ascii="Gill Sans MT" w:hAnsi="Gill Sans MT" w:cs="Gill Sans"/>
          <w:bCs/>
          <w:i/>
          <w:color w:val="auto"/>
          <w:sz w:val="22"/>
          <w:szCs w:val="22"/>
        </w:rPr>
        <w:t xml:space="preserve"> Management Plan 2012</w:t>
      </w:r>
      <w:r w:rsidR="00797A30">
        <w:rPr>
          <w:rFonts w:ascii="Gill Sans MT" w:hAnsi="Gill Sans MT" w:cs="Gill Sans"/>
          <w:bCs/>
          <w:color w:val="auto"/>
          <w:sz w:val="22"/>
          <w:szCs w:val="22"/>
        </w:rPr>
        <w:t xml:space="preserve">. Available at: </w:t>
      </w:r>
      <w:hyperlink r:id="rId19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http://cleanairplan.ca/cleanairplan2012.pdf</w:t>
        </w:r>
      </w:hyperlink>
    </w:p>
    <w:p w:rsidR="00797A30" w:rsidRPr="00797A30" w:rsidRDefault="00797A30" w:rsidP="00797A30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797A30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Fraser Basin Council. </w:t>
      </w:r>
      <w:proofErr w:type="gram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(2015). </w:t>
      </w:r>
      <w:r w:rsidRPr="00797A30">
        <w:rPr>
          <w:rFonts w:ascii="Gill Sans MT" w:hAnsi="Gill Sans MT" w:cs="Gill Sans"/>
          <w:bCs/>
          <w:i/>
          <w:color w:val="auto"/>
          <w:sz w:val="22"/>
          <w:szCs w:val="22"/>
        </w:rPr>
        <w:t>Nechako Watershed Health Report</w:t>
      </w:r>
      <w:r w:rsidRPr="00797A30">
        <w:rPr>
          <w:rFonts w:ascii="Gill Sans MT" w:hAnsi="Gill Sans MT" w:cs="Gill Sans"/>
          <w:bCs/>
          <w:color w:val="auto"/>
          <w:sz w:val="22"/>
          <w:szCs w:val="22"/>
        </w:rPr>
        <w:t>.</w:t>
      </w:r>
      <w:proofErr w:type="gram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 Available at:</w:t>
      </w:r>
      <w:r w:rsidRPr="00797A30">
        <w:rPr>
          <w:rFonts w:ascii="Gill Sans MT" w:hAnsi="Gill Sans MT" w:cs="Gill Sans"/>
          <w:bCs/>
          <w:color w:val="auto"/>
          <w:sz w:val="22"/>
          <w:szCs w:val="22"/>
        </w:rPr>
        <w:br/>
      </w:r>
      <w:hyperlink r:id="rId20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http://www.fraserbasin.bc.ca/_Library/Water_BCWF/Nechako-Mar31-2015_FINAL.pdf</w:t>
        </w:r>
      </w:hyperlink>
    </w:p>
    <w:p w:rsidR="00797A30" w:rsidRPr="00797A30" w:rsidRDefault="00797A30" w:rsidP="00797A30">
      <w:pPr>
        <w:pStyle w:val="ListParagraph"/>
        <w:rPr>
          <w:rFonts w:ascii="Gill Sans MT" w:hAnsi="Gill Sans MT" w:cs="Gill Sans"/>
          <w:color w:val="auto"/>
          <w:sz w:val="22"/>
          <w:szCs w:val="22"/>
        </w:rPr>
      </w:pPr>
    </w:p>
    <w:p w:rsidR="00797A30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Fraser Basin Council (prepared for the Nechako Watershed Roundtable). (2016). </w:t>
      </w:r>
      <w:r w:rsidRPr="00797A30">
        <w:rPr>
          <w:rFonts w:ascii="Gill Sans MT" w:hAnsi="Gill Sans MT" w:cs="Gill Sans"/>
          <w:i/>
          <w:color w:val="auto"/>
          <w:sz w:val="22"/>
          <w:szCs w:val="22"/>
        </w:rPr>
        <w:t>Towards a Healthy Nechako: Nechako Watershed Strategy</w:t>
      </w: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. Available at: </w:t>
      </w:r>
      <w:hyperlink r:id="rId21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http://www.fraserbasin.bc.ca/_Library/UFR/Nechako_Watershed_Strategy-31Oct2016-FINAL.pdf</w:t>
        </w:r>
      </w:hyperlink>
    </w:p>
    <w:p w:rsidR="00797A30" w:rsidRPr="00797A30" w:rsidRDefault="00797A30" w:rsidP="00797A30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Gill Sans MT" w:hAnsi="Gill Sans MT" w:cs="Gill Sans"/>
          <w:bCs/>
          <w:color w:val="auto"/>
          <w:sz w:val="22"/>
          <w:szCs w:val="22"/>
        </w:rPr>
      </w:pPr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Hildebrand, L. R., </w:t>
      </w:r>
      <w:proofErr w:type="spell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Drauch</w:t>
      </w:r>
      <w:proofErr w:type="spell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 </w:t>
      </w:r>
      <w:proofErr w:type="spell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Shreier</w:t>
      </w:r>
      <w:proofErr w:type="spell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, A., </w:t>
      </w:r>
      <w:proofErr w:type="spell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Lepla</w:t>
      </w:r>
      <w:proofErr w:type="spell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, K., McAdam, S. O., McLellan, J., Parsley, M. J., … Young, S. P. (2016). Status of White Sturgeon (</w:t>
      </w:r>
      <w:proofErr w:type="spell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Acipenser</w:t>
      </w:r>
      <w:proofErr w:type="spell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 </w:t>
      </w:r>
      <w:proofErr w:type="spell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transmontanus</w:t>
      </w:r>
      <w:proofErr w:type="spell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 Richardson, 1863) throughout the species range, threats to survival and prognosis for the future. </w:t>
      </w:r>
      <w:r w:rsidRPr="00797A30">
        <w:rPr>
          <w:rFonts w:ascii="Gill Sans MT" w:hAnsi="Gill Sans MT" w:cs="Gill Sans"/>
          <w:bCs/>
          <w:i/>
          <w:color w:val="auto"/>
          <w:sz w:val="22"/>
          <w:szCs w:val="22"/>
        </w:rPr>
        <w:t>Journal of Applied Ichthyology, 2</w:t>
      </w:r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, 261-312. </w:t>
      </w:r>
      <w:proofErr w:type="spell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doi</w:t>
      </w:r>
      <w:proofErr w:type="spell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: 10.1111/jai.13243</w:t>
      </w:r>
    </w:p>
    <w:p w:rsidR="00797A30" w:rsidRPr="00797A30" w:rsidRDefault="00797A30" w:rsidP="00797A30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Gill Sans MT" w:hAnsi="Gill Sans MT" w:cs="Gill Sans"/>
          <w:bCs/>
          <w:color w:val="auto"/>
          <w:sz w:val="22"/>
          <w:szCs w:val="22"/>
        </w:rPr>
      </w:pPr>
      <w:proofErr w:type="spell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Cichowski</w:t>
      </w:r>
      <w:proofErr w:type="spell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, D. 2010. </w:t>
      </w:r>
      <w:proofErr w:type="spell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Tweedsmuir-Entiako</w:t>
      </w:r>
      <w:proofErr w:type="spell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 Caribou Project: Effects of a Mountain Pine Beetle Epidemic on Northern Caribou Habitat Use – Final Report. Prepared for the </w:t>
      </w:r>
      <w:proofErr w:type="spell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Bulkley</w:t>
      </w:r>
      <w:proofErr w:type="spell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 Valley Centre for Natural Resources Research and Management, Smithers, B.C. 66p. </w:t>
      </w:r>
    </w:p>
    <w:p w:rsidR="00797A30" w:rsidRPr="00797A30" w:rsidRDefault="00797A30" w:rsidP="00797A30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797A30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Regional District of </w:t>
      </w:r>
      <w:proofErr w:type="spell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Bulkley</w:t>
      </w:r>
      <w:proofErr w:type="spell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-Nechako (2012). </w:t>
      </w:r>
      <w:proofErr w:type="gram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Agriculture Plan.</w:t>
      </w:r>
      <w:proofErr w:type="gram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 Burns Lake, BC: Regional District of </w:t>
      </w:r>
      <w:proofErr w:type="spell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Bulkley</w:t>
      </w:r>
      <w:proofErr w:type="spell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-Nechako. Available at: </w:t>
      </w:r>
      <w:hyperlink r:id="rId22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http://www.rdbn.bc.ca/images/pdf/planning/AgriculturePlan/Agriculture_Plan.pdf</w:t>
        </w:r>
      </w:hyperlink>
    </w:p>
    <w:p w:rsidR="00797A30" w:rsidRPr="00797A30" w:rsidRDefault="00797A30" w:rsidP="00797A30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797A30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Statistics Canada (2013).  Census of Agriculture, 1996, 2001, 2006, 2011, unless otherwise specified. </w:t>
      </w:r>
      <w:proofErr w:type="gram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Prepared by Ministry of Agriculture, Statistics and Research.</w:t>
      </w:r>
      <w:proofErr w:type="gram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  January 2013. Available at: </w:t>
      </w:r>
      <w:hyperlink r:id="rId23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http://www2.gov.bc.ca/assets/gov/farming-natural-resources-and-industry/agriculture-and-seafood/statistics/census/aginbrief_bulkley-nechako.pdf</w:t>
        </w:r>
      </w:hyperlink>
    </w:p>
    <w:p w:rsidR="00797A30" w:rsidRPr="00797A30" w:rsidRDefault="00797A30" w:rsidP="00797A30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797A30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Auditor General of BC. (2015). Managing the cumulative effects of natural resource development in BC. Victoria, BC: Auditor General of BC. Available at: </w:t>
      </w:r>
      <w:hyperlink r:id="rId24" w:history="1">
        <w:r w:rsidRPr="00797A30">
          <w:rPr>
            <w:rStyle w:val="Hyperlink"/>
            <w:rFonts w:ascii="Gill Sans MT" w:hAnsi="Gill Sans MT" w:cs="Gill Sans"/>
            <w:bCs/>
            <w:color w:val="auto"/>
            <w:sz w:val="22"/>
            <w:szCs w:val="22"/>
          </w:rPr>
          <w:t>http://www.bcauditor.com/sites/default/files/publications/reports/OAGBC%20Cumulative%20Effects%20FINAL.pdf</w:t>
        </w:r>
      </w:hyperlink>
    </w:p>
    <w:p w:rsidR="00797A30" w:rsidRPr="00797A30" w:rsidRDefault="00797A30" w:rsidP="00797A30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797A30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proofErr w:type="spell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WorkBC</w:t>
      </w:r>
      <w:proofErr w:type="spell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. </w:t>
      </w:r>
      <w:proofErr w:type="gramStart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>(2017). North Coast &amp; Nechako [Web page].</w:t>
      </w:r>
      <w:proofErr w:type="gramEnd"/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 Available at:</w:t>
      </w:r>
      <w:r w:rsidR="00797A30">
        <w:rPr>
          <w:rFonts w:ascii="Gill Sans MT" w:hAnsi="Gill Sans MT" w:cs="Gill Sans"/>
          <w:bCs/>
          <w:color w:val="auto"/>
          <w:sz w:val="22"/>
          <w:szCs w:val="22"/>
        </w:rPr>
        <w:t xml:space="preserve"> </w:t>
      </w:r>
      <w:hyperlink r:id="rId25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https://www.workbc.ca/Labour-Market-Information/Regional-Profiles/5</w:t>
        </w:r>
      </w:hyperlink>
      <w:r w:rsidRPr="00797A30">
        <w:rPr>
          <w:rStyle w:val="Hyperlink"/>
          <w:rFonts w:ascii="Gill Sans MT" w:hAnsi="Gill Sans MT" w:cs="Gill Sans"/>
          <w:color w:val="auto"/>
          <w:sz w:val="22"/>
          <w:szCs w:val="22"/>
        </w:rPr>
        <w:t xml:space="preserve"> </w:t>
      </w:r>
    </w:p>
    <w:p w:rsidR="00797A30" w:rsidRPr="00797A30" w:rsidRDefault="00797A30" w:rsidP="00797A30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797A30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17. Institute of Chartered Accountants of British Columbia. (2006). </w:t>
      </w:r>
      <w:proofErr w:type="gramStart"/>
      <w:r w:rsidRPr="00797A30">
        <w:rPr>
          <w:rFonts w:ascii="Gill Sans MT" w:hAnsi="Gill Sans MT" w:cs="Gill Sans"/>
          <w:bCs/>
          <w:i/>
          <w:color w:val="auto"/>
          <w:sz w:val="22"/>
          <w:szCs w:val="22"/>
        </w:rPr>
        <w:t>Live</w:t>
      </w:r>
      <w:proofErr w:type="gramEnd"/>
      <w:r w:rsidRPr="00797A30">
        <w:rPr>
          <w:rFonts w:ascii="Gill Sans MT" w:hAnsi="Gill Sans MT" w:cs="Gill Sans"/>
          <w:bCs/>
          <w:i/>
          <w:color w:val="auto"/>
          <w:sz w:val="22"/>
          <w:szCs w:val="22"/>
        </w:rPr>
        <w:t xml:space="preserve"> work invest in BC: Nechako Development Region. </w:t>
      </w:r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Available at: </w:t>
      </w:r>
      <w:hyperlink r:id="rId26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http://www.bccpa.ca/CpaBc/media/CPABC/News_Events_Publications/Publications/CPABC Check-Up/2013 and earlier/reg_nech_2006.pdf</w:t>
        </w:r>
      </w:hyperlink>
    </w:p>
    <w:p w:rsidR="00797A30" w:rsidRPr="00797A30" w:rsidRDefault="00797A30" w:rsidP="00797A30">
      <w:pPr>
        <w:pStyle w:val="ListParagraph"/>
        <w:rPr>
          <w:rFonts w:ascii="Gill Sans MT" w:eastAsia="Times New Roman" w:hAnsi="Gill Sans MT" w:cs="Gill Sans"/>
          <w:color w:val="auto"/>
          <w:sz w:val="22"/>
          <w:szCs w:val="22"/>
          <w:shd w:val="clear" w:color="auto" w:fill="FFFFFF"/>
        </w:rPr>
      </w:pPr>
    </w:p>
    <w:p w:rsidR="00797A30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Gill Sans MT" w:hAnsi="Gill Sans MT" w:cs="Gill Sans"/>
          <w:bCs/>
          <w:color w:val="auto"/>
          <w:sz w:val="22"/>
          <w:szCs w:val="22"/>
        </w:rPr>
      </w:pPr>
      <w:r w:rsidRPr="00797A30">
        <w:rPr>
          <w:rFonts w:ascii="Gill Sans MT" w:eastAsia="Times New Roman" w:hAnsi="Gill Sans MT" w:cs="Gill Sans"/>
          <w:color w:val="auto"/>
          <w:sz w:val="22"/>
          <w:szCs w:val="22"/>
          <w:shd w:val="clear" w:color="auto" w:fill="FFFFFF"/>
        </w:rPr>
        <w:t xml:space="preserve">MacDonald, A. (2014). </w:t>
      </w:r>
      <w:r w:rsidRPr="00797A30">
        <w:rPr>
          <w:rFonts w:ascii="Gill Sans MT" w:eastAsia="Times New Roman" w:hAnsi="Gill Sans MT" w:cs="Gill Sans"/>
          <w:i/>
          <w:color w:val="auto"/>
          <w:sz w:val="22"/>
          <w:szCs w:val="22"/>
          <w:shd w:val="clear" w:color="auto" w:fill="FFFFFF"/>
        </w:rPr>
        <w:t xml:space="preserve">Cumulative </w:t>
      </w:r>
      <w:proofErr w:type="gramStart"/>
      <w:r w:rsidRPr="00797A30">
        <w:rPr>
          <w:rFonts w:ascii="Gill Sans MT" w:eastAsia="Times New Roman" w:hAnsi="Gill Sans MT" w:cs="Gill Sans"/>
          <w:i/>
          <w:color w:val="auto"/>
          <w:sz w:val="22"/>
          <w:szCs w:val="22"/>
          <w:shd w:val="clear" w:color="auto" w:fill="FFFFFF"/>
        </w:rPr>
        <w:t>Effects</w:t>
      </w:r>
      <w:proofErr w:type="gramEnd"/>
      <w:r w:rsidRPr="00797A30">
        <w:rPr>
          <w:rFonts w:ascii="Gill Sans MT" w:eastAsia="Times New Roman" w:hAnsi="Gill Sans MT" w:cs="Gill Sans"/>
          <w:i/>
          <w:color w:val="auto"/>
          <w:sz w:val="22"/>
          <w:szCs w:val="22"/>
          <w:shd w:val="clear" w:color="auto" w:fill="FFFFFF"/>
        </w:rPr>
        <w:t xml:space="preserve"> on the Aboriginal Rights and Interests of Carrier </w:t>
      </w:r>
      <w:proofErr w:type="spellStart"/>
      <w:r w:rsidRPr="00797A30">
        <w:rPr>
          <w:rFonts w:ascii="Gill Sans MT" w:eastAsia="Times New Roman" w:hAnsi="Gill Sans MT" w:cs="Gill Sans"/>
          <w:i/>
          <w:color w:val="auto"/>
          <w:sz w:val="22"/>
          <w:szCs w:val="22"/>
          <w:shd w:val="clear" w:color="auto" w:fill="FFFFFF"/>
        </w:rPr>
        <w:t>Sekani</w:t>
      </w:r>
      <w:proofErr w:type="spellEnd"/>
      <w:r w:rsidRPr="00797A30">
        <w:rPr>
          <w:rFonts w:ascii="Gill Sans MT" w:eastAsia="Times New Roman" w:hAnsi="Gill Sans MT" w:cs="Gill Sans"/>
          <w:i/>
          <w:color w:val="auto"/>
          <w:sz w:val="22"/>
          <w:szCs w:val="22"/>
          <w:shd w:val="clear" w:color="auto" w:fill="FFFFFF"/>
        </w:rPr>
        <w:t xml:space="preserve"> Tribal Council First Nations: A Preliminary Re-assessment of the Coastal GasLink Project Extended Summary of </w:t>
      </w:r>
      <w:r w:rsidRPr="00797A30">
        <w:rPr>
          <w:rFonts w:ascii="Gill Sans MT" w:eastAsia="Times New Roman" w:hAnsi="Gill Sans MT" w:cs="Gill Sans"/>
          <w:i/>
          <w:color w:val="auto"/>
          <w:sz w:val="22"/>
          <w:szCs w:val="22"/>
          <w:shd w:val="clear" w:color="auto" w:fill="FFFFFF"/>
        </w:rPr>
        <w:lastRenderedPageBreak/>
        <w:t xml:space="preserve">Main Report, Prepared for the Carrier </w:t>
      </w:r>
      <w:proofErr w:type="spellStart"/>
      <w:r w:rsidRPr="00797A30">
        <w:rPr>
          <w:rFonts w:ascii="Gill Sans MT" w:eastAsia="Times New Roman" w:hAnsi="Gill Sans MT" w:cs="Gill Sans"/>
          <w:i/>
          <w:color w:val="auto"/>
          <w:sz w:val="22"/>
          <w:szCs w:val="22"/>
          <w:shd w:val="clear" w:color="auto" w:fill="FFFFFF"/>
        </w:rPr>
        <w:t>Sekani</w:t>
      </w:r>
      <w:proofErr w:type="spellEnd"/>
      <w:r w:rsidRPr="00797A30">
        <w:rPr>
          <w:rFonts w:ascii="Gill Sans MT" w:eastAsia="Times New Roman" w:hAnsi="Gill Sans MT" w:cs="Gill Sans"/>
          <w:i/>
          <w:color w:val="auto"/>
          <w:sz w:val="22"/>
          <w:szCs w:val="22"/>
          <w:shd w:val="clear" w:color="auto" w:fill="FFFFFF"/>
        </w:rPr>
        <w:t xml:space="preserve"> Tribal Council</w:t>
      </w:r>
      <w:r w:rsidRPr="00797A30">
        <w:rPr>
          <w:rFonts w:ascii="Gill Sans MT" w:eastAsia="Times New Roman" w:hAnsi="Gill Sans MT" w:cs="Gill Sans"/>
          <w:color w:val="auto"/>
          <w:sz w:val="22"/>
          <w:szCs w:val="22"/>
          <w:shd w:val="clear" w:color="auto" w:fill="FFFFFF"/>
        </w:rPr>
        <w:t>. Victoria, BC: The Firelight Group Research Cooperative.</w:t>
      </w:r>
    </w:p>
    <w:p w:rsidR="00797A30" w:rsidRPr="00797A30" w:rsidRDefault="00797A30" w:rsidP="00797A30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797A30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r w:rsidRPr="00797A30">
        <w:rPr>
          <w:rFonts w:ascii="Gill Sans MT" w:hAnsi="Gill Sans MT" w:cs="Gill Sans"/>
          <w:bCs/>
          <w:color w:val="auto"/>
          <w:sz w:val="22"/>
          <w:szCs w:val="22"/>
        </w:rPr>
        <w:t xml:space="preserve">BC Non-profit Housing Association. (2012). </w:t>
      </w:r>
      <w:r w:rsidRPr="00797A30">
        <w:rPr>
          <w:rFonts w:ascii="Gill Sans MT" w:hAnsi="Gill Sans MT" w:cs="Gill Sans"/>
          <w:bCs/>
          <w:i/>
          <w:color w:val="auto"/>
          <w:sz w:val="22"/>
          <w:szCs w:val="22"/>
        </w:rPr>
        <w:t xml:space="preserve">Our Home, Our Future: Projections of Rental Housing Demand and Core Housing Need, Regional District of </w:t>
      </w:r>
      <w:proofErr w:type="spellStart"/>
      <w:r w:rsidRPr="00797A30">
        <w:rPr>
          <w:rFonts w:ascii="Gill Sans MT" w:hAnsi="Gill Sans MT" w:cs="Gill Sans"/>
          <w:bCs/>
          <w:i/>
          <w:color w:val="auto"/>
          <w:sz w:val="22"/>
          <w:szCs w:val="22"/>
        </w:rPr>
        <w:t>Bulkley</w:t>
      </w:r>
      <w:proofErr w:type="spellEnd"/>
      <w:r w:rsidRPr="00797A30">
        <w:rPr>
          <w:rFonts w:ascii="Gill Sans MT" w:hAnsi="Gill Sans MT" w:cs="Gill Sans"/>
          <w:bCs/>
          <w:i/>
          <w:color w:val="auto"/>
          <w:sz w:val="22"/>
          <w:szCs w:val="22"/>
        </w:rPr>
        <w:t>-Nechako to 2036</w:t>
      </w:r>
      <w:r w:rsidR="00797A30">
        <w:rPr>
          <w:rFonts w:ascii="Gill Sans MT" w:hAnsi="Gill Sans MT" w:cs="Gill Sans"/>
          <w:bCs/>
          <w:color w:val="auto"/>
          <w:sz w:val="22"/>
          <w:szCs w:val="22"/>
        </w:rPr>
        <w:t xml:space="preserve">. Available at: </w:t>
      </w:r>
      <w:hyperlink r:id="rId27" w:history="1">
        <w:r w:rsidRPr="00797A30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http://bcnpha.ca/wp_bcnpha/wp-content/uploads/2012/09/51_Bulkley-Nechako_1209211.pdf</w:t>
        </w:r>
      </w:hyperlink>
    </w:p>
    <w:p w:rsidR="00797A30" w:rsidRPr="00797A30" w:rsidRDefault="00797A30" w:rsidP="00797A30">
      <w:pPr>
        <w:pStyle w:val="ListParagraph"/>
        <w:rPr>
          <w:rFonts w:ascii="Gill Sans MT" w:hAnsi="Gill Sans MT" w:cs="Gill Sans"/>
          <w:color w:val="auto"/>
          <w:sz w:val="22"/>
          <w:szCs w:val="22"/>
        </w:rPr>
      </w:pPr>
    </w:p>
    <w:p w:rsidR="00797A30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Gill Sans MT" w:hAnsi="Gill Sans MT" w:cs="Gill Sans"/>
          <w:bCs/>
          <w:color w:val="auto"/>
          <w:sz w:val="22"/>
          <w:szCs w:val="22"/>
        </w:rPr>
      </w:pP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Statistics Canada. (2016). Incident-based crime statistics by detailed violations </w:t>
      </w:r>
      <w:r w:rsidRPr="00797A30">
        <w:rPr>
          <w:rFonts w:ascii="Gill Sans MT" w:hAnsi="Gill Sans MT" w:cs="Gill Sans"/>
          <w:iCs/>
          <w:color w:val="auto"/>
          <w:sz w:val="22"/>
          <w:szCs w:val="22"/>
        </w:rPr>
        <w:t>and police services</w:t>
      </w: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 in BC and </w:t>
      </w:r>
      <w:proofErr w:type="spellStart"/>
      <w:r w:rsidRPr="00797A30">
        <w:rPr>
          <w:rFonts w:ascii="Gill Sans MT" w:hAnsi="Gill Sans MT" w:cs="Gill Sans"/>
          <w:color w:val="auto"/>
          <w:sz w:val="22"/>
          <w:szCs w:val="22"/>
        </w:rPr>
        <w:t>Vanderhoof</w:t>
      </w:r>
      <w:proofErr w:type="spellEnd"/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 (</w:t>
      </w:r>
      <w:r w:rsidRPr="00797A30">
        <w:rPr>
          <w:rFonts w:ascii="Gill Sans MT" w:hAnsi="Gill Sans MT" w:cs="Gill Sans"/>
          <w:i/>
          <w:iCs/>
          <w:color w:val="auto"/>
          <w:sz w:val="22"/>
          <w:szCs w:val="22"/>
        </w:rPr>
        <w:t>CANSIM tables 252-0081</w:t>
      </w:r>
      <w:r w:rsidRPr="00797A30">
        <w:rPr>
          <w:rFonts w:ascii="Gill Sans MT" w:hAnsi="Gill Sans MT" w:cs="Gill Sans"/>
          <w:color w:val="auto"/>
          <w:sz w:val="22"/>
          <w:szCs w:val="22"/>
        </w:rPr>
        <w:t xml:space="preserve">). Ottawa, ON: Government of </w:t>
      </w:r>
    </w:p>
    <w:p w:rsidR="00797A30" w:rsidRPr="00797A30" w:rsidRDefault="00797A30" w:rsidP="00797A30">
      <w:pPr>
        <w:pStyle w:val="ListParagraph"/>
        <w:rPr>
          <w:rFonts w:ascii="Gill Sans MT" w:eastAsia="Times New Roman" w:hAnsi="Gill Sans MT" w:cs="Gill Sans"/>
          <w:color w:val="auto"/>
          <w:sz w:val="22"/>
          <w:szCs w:val="22"/>
        </w:rPr>
      </w:pPr>
    </w:p>
    <w:p w:rsidR="00272199" w:rsidRPr="00797A30" w:rsidRDefault="00AA49DE" w:rsidP="00797A30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Gill Sans MT" w:hAnsi="Gill Sans MT" w:cs="Gill Sans"/>
          <w:bCs/>
          <w:color w:val="auto"/>
          <w:sz w:val="22"/>
          <w:szCs w:val="22"/>
        </w:rPr>
      </w:pPr>
      <w:bookmarkStart w:id="0" w:name="_GoBack"/>
      <w:bookmarkEnd w:id="0"/>
      <w:r w:rsidRPr="00797A30">
        <w:rPr>
          <w:rFonts w:ascii="Gill Sans MT" w:eastAsia="Times New Roman" w:hAnsi="Gill Sans MT" w:cs="Gill Sans"/>
          <w:color w:val="auto"/>
          <w:sz w:val="22"/>
          <w:szCs w:val="22"/>
        </w:rPr>
        <w:t xml:space="preserve">Shandro J, </w:t>
      </w:r>
      <w:proofErr w:type="spellStart"/>
      <w:r w:rsidRPr="00797A30">
        <w:rPr>
          <w:rFonts w:ascii="Gill Sans MT" w:eastAsia="Times New Roman" w:hAnsi="Gill Sans MT" w:cs="Gill Sans"/>
          <w:color w:val="auto"/>
          <w:sz w:val="22"/>
          <w:szCs w:val="22"/>
        </w:rPr>
        <w:t>Ostry</w:t>
      </w:r>
      <w:proofErr w:type="spellEnd"/>
      <w:r w:rsidRPr="00797A30">
        <w:rPr>
          <w:rFonts w:ascii="Gill Sans MT" w:eastAsia="Times New Roman" w:hAnsi="Gill Sans MT" w:cs="Gill Sans"/>
          <w:color w:val="auto"/>
          <w:sz w:val="22"/>
          <w:szCs w:val="22"/>
        </w:rPr>
        <w:t xml:space="preserve"> A, </w:t>
      </w:r>
      <w:proofErr w:type="spellStart"/>
      <w:r w:rsidRPr="00797A30">
        <w:rPr>
          <w:rFonts w:ascii="Gill Sans MT" w:eastAsia="Times New Roman" w:hAnsi="Gill Sans MT" w:cs="Gill Sans"/>
          <w:color w:val="auto"/>
          <w:sz w:val="22"/>
          <w:szCs w:val="22"/>
        </w:rPr>
        <w:t>Scoble</w:t>
      </w:r>
      <w:proofErr w:type="spellEnd"/>
      <w:r w:rsidRPr="00797A30">
        <w:rPr>
          <w:rFonts w:ascii="Gill Sans MT" w:eastAsia="Times New Roman" w:hAnsi="Gill Sans MT" w:cs="Gill Sans"/>
          <w:color w:val="auto"/>
          <w:sz w:val="22"/>
          <w:szCs w:val="22"/>
        </w:rPr>
        <w:t xml:space="preserve"> M (2011). Opportunities to meet the health needs of the Stuart Lake/</w:t>
      </w:r>
      <w:proofErr w:type="spellStart"/>
      <w:r w:rsidRPr="00797A30">
        <w:rPr>
          <w:rFonts w:ascii="Gill Sans MT" w:eastAsia="Times New Roman" w:hAnsi="Gill Sans MT" w:cs="Gill Sans"/>
          <w:color w:val="auto"/>
          <w:sz w:val="22"/>
          <w:szCs w:val="22"/>
        </w:rPr>
        <w:t>Nak’al</w:t>
      </w:r>
      <w:proofErr w:type="spellEnd"/>
      <w:r w:rsidRPr="00797A30">
        <w:rPr>
          <w:rFonts w:ascii="Gill Sans MT" w:eastAsia="Times New Roman" w:hAnsi="Gill Sans MT" w:cs="Gill Sans"/>
          <w:color w:val="auto"/>
          <w:sz w:val="22"/>
          <w:szCs w:val="22"/>
        </w:rPr>
        <w:t xml:space="preserve"> Bun Area: A baseline study of community health, social services and reported impacts from mining developments (40pp.). Available: </w:t>
      </w:r>
      <w:hyperlink r:id="rId28" w:history="1">
        <w:r w:rsidRPr="00797A30">
          <w:rPr>
            <w:rStyle w:val="Hyperlink"/>
            <w:rFonts w:ascii="Gill Sans MT" w:eastAsia="Times New Roman" w:hAnsi="Gill Sans MT" w:cs="Gill Sans"/>
            <w:color w:val="auto"/>
            <w:sz w:val="22"/>
            <w:szCs w:val="22"/>
          </w:rPr>
          <w:t>http://bchealthycommunities.ca/res/download.php?id=1818</w:t>
        </w:r>
      </w:hyperlink>
    </w:p>
    <w:sectPr w:rsidR="00272199" w:rsidRPr="00797A30" w:rsidSect="005D64E2">
      <w:headerReference w:type="default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1A" w:rsidRDefault="0019631A" w:rsidP="00A35CA3">
      <w:r>
        <w:separator/>
      </w:r>
    </w:p>
  </w:endnote>
  <w:endnote w:type="continuationSeparator" w:id="0">
    <w:p w:rsidR="0019631A" w:rsidRDefault="0019631A" w:rsidP="00A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sz w:val="22"/>
        <w:szCs w:val="22"/>
      </w:rPr>
      <w:id w:val="-719593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00C3" w:rsidRPr="005D64E2" w:rsidRDefault="004800C3">
        <w:pPr>
          <w:pStyle w:val="Footer"/>
          <w:jc w:val="right"/>
          <w:rPr>
            <w:rFonts w:ascii="Gill Sans MT" w:hAnsi="Gill Sans MT"/>
            <w:sz w:val="22"/>
            <w:szCs w:val="22"/>
          </w:rPr>
        </w:pPr>
        <w:r w:rsidRPr="005D64E2">
          <w:rPr>
            <w:rFonts w:ascii="Gill Sans MT" w:hAnsi="Gill Sans MT"/>
            <w:sz w:val="22"/>
            <w:szCs w:val="22"/>
          </w:rPr>
          <w:fldChar w:fldCharType="begin"/>
        </w:r>
        <w:r w:rsidRPr="005D64E2">
          <w:rPr>
            <w:rFonts w:ascii="Gill Sans MT" w:hAnsi="Gill Sans MT"/>
            <w:sz w:val="22"/>
            <w:szCs w:val="22"/>
          </w:rPr>
          <w:instrText xml:space="preserve"> PAGE   \* MERGEFORMAT </w:instrText>
        </w:r>
        <w:r w:rsidRPr="005D64E2">
          <w:rPr>
            <w:rFonts w:ascii="Gill Sans MT" w:hAnsi="Gill Sans MT"/>
            <w:sz w:val="22"/>
            <w:szCs w:val="22"/>
          </w:rPr>
          <w:fldChar w:fldCharType="separate"/>
        </w:r>
        <w:r w:rsidR="00797A30">
          <w:rPr>
            <w:rFonts w:ascii="Gill Sans MT" w:hAnsi="Gill Sans MT"/>
            <w:noProof/>
            <w:sz w:val="22"/>
            <w:szCs w:val="22"/>
          </w:rPr>
          <w:t>2</w:t>
        </w:r>
        <w:r w:rsidRPr="005D64E2">
          <w:rPr>
            <w:rFonts w:ascii="Gill Sans MT" w:hAnsi="Gill Sans MT"/>
            <w:noProof/>
            <w:sz w:val="22"/>
            <w:szCs w:val="22"/>
          </w:rPr>
          <w:fldChar w:fldCharType="end"/>
        </w:r>
      </w:p>
    </w:sdtContent>
  </w:sdt>
  <w:p w:rsidR="004800C3" w:rsidRDefault="004800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E2" w:rsidRPr="005D64E2" w:rsidRDefault="005D64E2" w:rsidP="005D64E2">
    <w:pPr>
      <w:pStyle w:val="Footer"/>
      <w:jc w:val="right"/>
      <w:rPr>
        <w:rFonts w:ascii="Gill Sans MT" w:hAnsi="Gill Sans MT"/>
        <w:sz w:val="22"/>
        <w:szCs w:val="22"/>
      </w:rPr>
    </w:pPr>
    <w:r w:rsidRPr="005D64E2">
      <w:rPr>
        <w:rFonts w:ascii="Gill Sans MT" w:hAnsi="Gill Sans MT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1A" w:rsidRDefault="0019631A" w:rsidP="00A35CA3">
      <w:r>
        <w:separator/>
      </w:r>
    </w:p>
  </w:footnote>
  <w:footnote w:type="continuationSeparator" w:id="0">
    <w:p w:rsidR="0019631A" w:rsidRDefault="0019631A" w:rsidP="00A35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6F" w:rsidRDefault="00A81E6F" w:rsidP="00533FFA">
    <w:pPr>
      <w:pStyle w:val="Header"/>
      <w:rPr>
        <w:noProof/>
      </w:rPr>
    </w:pPr>
  </w:p>
  <w:p w:rsidR="00A81E6F" w:rsidRDefault="00A81E6F" w:rsidP="00533FFA">
    <w:pPr>
      <w:pStyle w:val="Header"/>
    </w:pPr>
    <w:r>
      <w:rPr>
        <w:noProof/>
      </w:rPr>
      <w:t xml:space="preserve">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F1" w:rsidRDefault="0053554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BDBDD" wp14:editId="2C3E7D4F">
              <wp:simplePos x="0" y="0"/>
              <wp:positionH relativeFrom="column">
                <wp:posOffset>-925830</wp:posOffset>
              </wp:positionH>
              <wp:positionV relativeFrom="paragraph">
                <wp:posOffset>-457200</wp:posOffset>
              </wp:positionV>
              <wp:extent cx="7835900" cy="1097915"/>
              <wp:effectExtent l="0" t="0" r="12700" b="2603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1097915"/>
                      </a:xfrm>
                      <a:prstGeom prst="rect">
                        <a:avLst/>
                      </a:prstGeom>
                      <a:solidFill>
                        <a:srgbClr val="035642"/>
                      </a:solidFill>
                      <a:ln>
                        <a:solidFill>
                          <a:srgbClr val="03564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81E6F" w:rsidRDefault="00A81E6F" w:rsidP="00331EB9">
                          <w:pPr>
                            <w:ind w:left="126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</w:t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7016456" wp14:editId="4B7317F9">
                                <wp:extent cx="1724477" cy="675234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IRC logo whit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4477" cy="6752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</w:t>
                          </w:r>
                          <w:r w:rsidR="00484C86">
                            <w:rPr>
                              <w:noProof/>
                            </w:rPr>
                            <w:t xml:space="preserve">                         </w:t>
                          </w:r>
                          <w:r w:rsidR="0000216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6B9868" wp14:editId="4FC2854D">
                                <wp:extent cx="2991670" cy="515703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white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64058" cy="5281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84C86">
                            <w:rPr>
                              <w:noProof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72.9pt;margin-top:-36pt;width:617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" fillcolor="#035642" strokecolor="#035642" strokeweight="2pt">
              <v:textbox>
                <w:txbxContent>
                  <w:p w:rsidR="00A81E6F" w:rsidRDefault="00A81E6F" w:rsidP="00331EB9">
                    <w:pPr>
                      <w:ind w:left="126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</w:t>
                    </w: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7016456" wp14:editId="4B7317F9">
                          <wp:extent cx="1724477" cy="675234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IRC logo whit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4477" cy="6752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</w:t>
                    </w:r>
                    <w:r w:rsidR="00484C86">
                      <w:rPr>
                        <w:noProof/>
                      </w:rPr>
                      <w:t xml:space="preserve">                         </w:t>
                    </w:r>
                    <w:r w:rsidR="00002160">
                      <w:rPr>
                        <w:noProof/>
                        <w:lang w:val="en-US"/>
                      </w:rPr>
                      <w:drawing>
                        <wp:inline distT="0" distB="0" distL="0" distR="0" wp14:anchorId="196B9868" wp14:editId="4FC2854D">
                          <wp:extent cx="2991670" cy="515703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white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64058" cy="5281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84C86">
                      <w:rPr>
                        <w:noProof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B83"/>
    <w:multiLevelType w:val="hybridMultilevel"/>
    <w:tmpl w:val="683A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1EA3"/>
    <w:multiLevelType w:val="hybridMultilevel"/>
    <w:tmpl w:val="1C7C476E"/>
    <w:lvl w:ilvl="0" w:tplc="9BC08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57C5E"/>
    <w:multiLevelType w:val="hybridMultilevel"/>
    <w:tmpl w:val="F77CEA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21C3EAD"/>
    <w:multiLevelType w:val="hybridMultilevel"/>
    <w:tmpl w:val="55FA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00CCD"/>
    <w:multiLevelType w:val="hybridMultilevel"/>
    <w:tmpl w:val="923A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350F2"/>
    <w:multiLevelType w:val="hybridMultilevel"/>
    <w:tmpl w:val="30B26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E281A"/>
    <w:multiLevelType w:val="hybridMultilevel"/>
    <w:tmpl w:val="649A0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2B2DE6"/>
    <w:multiLevelType w:val="hybridMultilevel"/>
    <w:tmpl w:val="3CB8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25510"/>
    <w:multiLevelType w:val="hybridMultilevel"/>
    <w:tmpl w:val="BD2A6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82CD0"/>
    <w:multiLevelType w:val="hybridMultilevel"/>
    <w:tmpl w:val="D1CA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819C9"/>
    <w:multiLevelType w:val="hybridMultilevel"/>
    <w:tmpl w:val="05DE81C6"/>
    <w:lvl w:ilvl="0" w:tplc="9BC08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EB498A"/>
    <w:multiLevelType w:val="hybridMultilevel"/>
    <w:tmpl w:val="6A6C4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C398E"/>
    <w:multiLevelType w:val="hybridMultilevel"/>
    <w:tmpl w:val="6B5E6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A4554"/>
    <w:multiLevelType w:val="hybridMultilevel"/>
    <w:tmpl w:val="C114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F6"/>
    <w:rsid w:val="00002160"/>
    <w:rsid w:val="000033DA"/>
    <w:rsid w:val="0001317D"/>
    <w:rsid w:val="00020FE5"/>
    <w:rsid w:val="00030007"/>
    <w:rsid w:val="00033C67"/>
    <w:rsid w:val="00047417"/>
    <w:rsid w:val="000D2142"/>
    <w:rsid w:val="000E29F8"/>
    <w:rsid w:val="000E3A9E"/>
    <w:rsid w:val="000E517A"/>
    <w:rsid w:val="000F4CDC"/>
    <w:rsid w:val="00121426"/>
    <w:rsid w:val="00124FBB"/>
    <w:rsid w:val="00130041"/>
    <w:rsid w:val="00131B47"/>
    <w:rsid w:val="00132C52"/>
    <w:rsid w:val="00166D45"/>
    <w:rsid w:val="00186D6B"/>
    <w:rsid w:val="0019631A"/>
    <w:rsid w:val="001B2B5E"/>
    <w:rsid w:val="001C04BF"/>
    <w:rsid w:val="001E1740"/>
    <w:rsid w:val="001E491F"/>
    <w:rsid w:val="00200AB3"/>
    <w:rsid w:val="00210D80"/>
    <w:rsid w:val="00211580"/>
    <w:rsid w:val="00216D79"/>
    <w:rsid w:val="00220421"/>
    <w:rsid w:val="00221BC1"/>
    <w:rsid w:val="00222F9F"/>
    <w:rsid w:val="002412F6"/>
    <w:rsid w:val="002434C8"/>
    <w:rsid w:val="0024740D"/>
    <w:rsid w:val="00265858"/>
    <w:rsid w:val="00270CEF"/>
    <w:rsid w:val="00272199"/>
    <w:rsid w:val="00274226"/>
    <w:rsid w:val="0028061D"/>
    <w:rsid w:val="002A04ED"/>
    <w:rsid w:val="002A6F26"/>
    <w:rsid w:val="002C7880"/>
    <w:rsid w:val="002D5BA8"/>
    <w:rsid w:val="002E1528"/>
    <w:rsid w:val="002F7CA2"/>
    <w:rsid w:val="00304760"/>
    <w:rsid w:val="003140A5"/>
    <w:rsid w:val="00315BD4"/>
    <w:rsid w:val="00331EB9"/>
    <w:rsid w:val="00340987"/>
    <w:rsid w:val="00340D64"/>
    <w:rsid w:val="00363D8F"/>
    <w:rsid w:val="00364B68"/>
    <w:rsid w:val="00365201"/>
    <w:rsid w:val="00375C59"/>
    <w:rsid w:val="003776C1"/>
    <w:rsid w:val="003828D5"/>
    <w:rsid w:val="00387B24"/>
    <w:rsid w:val="003C0E91"/>
    <w:rsid w:val="003D2133"/>
    <w:rsid w:val="003E0AB3"/>
    <w:rsid w:val="00405663"/>
    <w:rsid w:val="00407BC7"/>
    <w:rsid w:val="004123ED"/>
    <w:rsid w:val="00412A8C"/>
    <w:rsid w:val="00416AF7"/>
    <w:rsid w:val="00440084"/>
    <w:rsid w:val="00447F4F"/>
    <w:rsid w:val="00461512"/>
    <w:rsid w:val="00462DAA"/>
    <w:rsid w:val="00471C09"/>
    <w:rsid w:val="004762F1"/>
    <w:rsid w:val="004800C3"/>
    <w:rsid w:val="00484C86"/>
    <w:rsid w:val="004902C9"/>
    <w:rsid w:val="004A5C24"/>
    <w:rsid w:val="004B2E04"/>
    <w:rsid w:val="004E1598"/>
    <w:rsid w:val="004E187B"/>
    <w:rsid w:val="004E635F"/>
    <w:rsid w:val="004F1CA9"/>
    <w:rsid w:val="00533FFA"/>
    <w:rsid w:val="00534322"/>
    <w:rsid w:val="0053554A"/>
    <w:rsid w:val="00567384"/>
    <w:rsid w:val="00575C52"/>
    <w:rsid w:val="005C57AB"/>
    <w:rsid w:val="005C5B57"/>
    <w:rsid w:val="005D3C71"/>
    <w:rsid w:val="005D64E2"/>
    <w:rsid w:val="005E08A6"/>
    <w:rsid w:val="00610DD9"/>
    <w:rsid w:val="00611912"/>
    <w:rsid w:val="00614EB8"/>
    <w:rsid w:val="00623276"/>
    <w:rsid w:val="00631AD5"/>
    <w:rsid w:val="006670C9"/>
    <w:rsid w:val="00672D0D"/>
    <w:rsid w:val="00675891"/>
    <w:rsid w:val="006A1E73"/>
    <w:rsid w:val="006B2CEF"/>
    <w:rsid w:val="006B48A5"/>
    <w:rsid w:val="006D0015"/>
    <w:rsid w:val="006D6B0F"/>
    <w:rsid w:val="006F1BAD"/>
    <w:rsid w:val="00733925"/>
    <w:rsid w:val="00740E1D"/>
    <w:rsid w:val="00752E27"/>
    <w:rsid w:val="007577E0"/>
    <w:rsid w:val="00764CD7"/>
    <w:rsid w:val="0078491C"/>
    <w:rsid w:val="00797A30"/>
    <w:rsid w:val="007A4B2C"/>
    <w:rsid w:val="007A6491"/>
    <w:rsid w:val="007C342F"/>
    <w:rsid w:val="007D3801"/>
    <w:rsid w:val="008022D4"/>
    <w:rsid w:val="00802A0E"/>
    <w:rsid w:val="0081616F"/>
    <w:rsid w:val="008306AE"/>
    <w:rsid w:val="008310A3"/>
    <w:rsid w:val="00831AF0"/>
    <w:rsid w:val="008408DB"/>
    <w:rsid w:val="00853AE3"/>
    <w:rsid w:val="00856076"/>
    <w:rsid w:val="0089033F"/>
    <w:rsid w:val="00890F86"/>
    <w:rsid w:val="008D0F5B"/>
    <w:rsid w:val="008F60C8"/>
    <w:rsid w:val="00905A8D"/>
    <w:rsid w:val="00945AB7"/>
    <w:rsid w:val="00952C68"/>
    <w:rsid w:val="00953ABA"/>
    <w:rsid w:val="00963D9F"/>
    <w:rsid w:val="00967D3F"/>
    <w:rsid w:val="00976DC3"/>
    <w:rsid w:val="0099212D"/>
    <w:rsid w:val="009D1686"/>
    <w:rsid w:val="009E6D5A"/>
    <w:rsid w:val="00A07498"/>
    <w:rsid w:val="00A12178"/>
    <w:rsid w:val="00A1231F"/>
    <w:rsid w:val="00A16ACE"/>
    <w:rsid w:val="00A263BF"/>
    <w:rsid w:val="00A3334B"/>
    <w:rsid w:val="00A35CA3"/>
    <w:rsid w:val="00A427F3"/>
    <w:rsid w:val="00A44F2C"/>
    <w:rsid w:val="00A53E2A"/>
    <w:rsid w:val="00A54F6E"/>
    <w:rsid w:val="00A62A5C"/>
    <w:rsid w:val="00A66D07"/>
    <w:rsid w:val="00A75283"/>
    <w:rsid w:val="00A80E43"/>
    <w:rsid w:val="00A81E6F"/>
    <w:rsid w:val="00AA2A6A"/>
    <w:rsid w:val="00AA49DE"/>
    <w:rsid w:val="00AA7440"/>
    <w:rsid w:val="00AB33D4"/>
    <w:rsid w:val="00AB5D6E"/>
    <w:rsid w:val="00AE7A55"/>
    <w:rsid w:val="00B002EE"/>
    <w:rsid w:val="00B063C6"/>
    <w:rsid w:val="00B27551"/>
    <w:rsid w:val="00B54850"/>
    <w:rsid w:val="00B6152B"/>
    <w:rsid w:val="00B61C86"/>
    <w:rsid w:val="00B66841"/>
    <w:rsid w:val="00B80986"/>
    <w:rsid w:val="00B8577A"/>
    <w:rsid w:val="00BA78A2"/>
    <w:rsid w:val="00BB317C"/>
    <w:rsid w:val="00BC5CC4"/>
    <w:rsid w:val="00BD175E"/>
    <w:rsid w:val="00BD2E35"/>
    <w:rsid w:val="00BE2B86"/>
    <w:rsid w:val="00BE41A3"/>
    <w:rsid w:val="00BF4153"/>
    <w:rsid w:val="00C11670"/>
    <w:rsid w:val="00C313BB"/>
    <w:rsid w:val="00C627B6"/>
    <w:rsid w:val="00C80880"/>
    <w:rsid w:val="00C827AE"/>
    <w:rsid w:val="00CA09C3"/>
    <w:rsid w:val="00CA3F6F"/>
    <w:rsid w:val="00CB5101"/>
    <w:rsid w:val="00CC7CCB"/>
    <w:rsid w:val="00CD2A6C"/>
    <w:rsid w:val="00CD2BFA"/>
    <w:rsid w:val="00CE5BCF"/>
    <w:rsid w:val="00CF692F"/>
    <w:rsid w:val="00D114BC"/>
    <w:rsid w:val="00D20454"/>
    <w:rsid w:val="00D26B2C"/>
    <w:rsid w:val="00D83A12"/>
    <w:rsid w:val="00D87324"/>
    <w:rsid w:val="00DB0808"/>
    <w:rsid w:val="00DE4C5A"/>
    <w:rsid w:val="00E0211D"/>
    <w:rsid w:val="00E04FE7"/>
    <w:rsid w:val="00E15859"/>
    <w:rsid w:val="00E218ED"/>
    <w:rsid w:val="00E35902"/>
    <w:rsid w:val="00E432E6"/>
    <w:rsid w:val="00E62CCE"/>
    <w:rsid w:val="00E90E25"/>
    <w:rsid w:val="00E97424"/>
    <w:rsid w:val="00EA632D"/>
    <w:rsid w:val="00EB11AB"/>
    <w:rsid w:val="00EB278B"/>
    <w:rsid w:val="00EC1039"/>
    <w:rsid w:val="00EC77BC"/>
    <w:rsid w:val="00ED62F9"/>
    <w:rsid w:val="00EE4EE4"/>
    <w:rsid w:val="00EF1001"/>
    <w:rsid w:val="00EF2660"/>
    <w:rsid w:val="00EF3E25"/>
    <w:rsid w:val="00F10FF3"/>
    <w:rsid w:val="00F534E0"/>
    <w:rsid w:val="00F604CB"/>
    <w:rsid w:val="00F625A4"/>
    <w:rsid w:val="00F77108"/>
    <w:rsid w:val="00F86312"/>
    <w:rsid w:val="00F93AB0"/>
    <w:rsid w:val="00FA07EC"/>
    <w:rsid w:val="00FB526A"/>
    <w:rsid w:val="00FD0097"/>
    <w:rsid w:val="00F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E2"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A3"/>
  </w:style>
  <w:style w:type="paragraph" w:styleId="Footer">
    <w:name w:val="footer"/>
    <w:basedOn w:val="Normal"/>
    <w:link w:val="FooterChar"/>
    <w:uiPriority w:val="99"/>
    <w:unhideWhenUsed/>
    <w:rsid w:val="00A3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A3"/>
  </w:style>
  <w:style w:type="paragraph" w:styleId="BalloonText">
    <w:name w:val="Balloon Text"/>
    <w:basedOn w:val="Normal"/>
    <w:link w:val="BalloonTextChar"/>
    <w:uiPriority w:val="99"/>
    <w:semiHidden/>
    <w:unhideWhenUsed/>
    <w:rsid w:val="00A35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C86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484C86"/>
    <w:pPr>
      <w:spacing w:line="312" w:lineRule="auto"/>
      <w:ind w:left="720"/>
      <w:contextualSpacing/>
    </w:pPr>
    <w:rPr>
      <w:color w:val="1F497D" w:themeColor="text2"/>
      <w:lang w:eastAsia="ja-JP"/>
    </w:rPr>
  </w:style>
  <w:style w:type="paragraph" w:customStyle="1" w:styleId="default">
    <w:name w:val="default"/>
    <w:basedOn w:val="Normal"/>
    <w:rsid w:val="00484C86"/>
  </w:style>
  <w:style w:type="paragraph" w:customStyle="1" w:styleId="Default0">
    <w:name w:val="Default"/>
    <w:rsid w:val="00484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2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2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2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26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53AE3"/>
    <w:pPr>
      <w:spacing w:before="100" w:beforeAutospacing="1" w:after="100" w:afterAutospacing="1"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4B2E04"/>
    <w:rPr>
      <w:color w:val="808080"/>
    </w:rPr>
  </w:style>
  <w:style w:type="character" w:customStyle="1" w:styleId="apple-converted-space">
    <w:name w:val="apple-converted-space"/>
    <w:basedOn w:val="DefaultParagraphFont"/>
    <w:rsid w:val="005D64E2"/>
  </w:style>
  <w:style w:type="character" w:styleId="Emphasis">
    <w:name w:val="Emphasis"/>
    <w:basedOn w:val="DefaultParagraphFont"/>
    <w:uiPriority w:val="20"/>
    <w:qFormat/>
    <w:rsid w:val="005D64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E2"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A3"/>
  </w:style>
  <w:style w:type="paragraph" w:styleId="Footer">
    <w:name w:val="footer"/>
    <w:basedOn w:val="Normal"/>
    <w:link w:val="FooterChar"/>
    <w:uiPriority w:val="99"/>
    <w:unhideWhenUsed/>
    <w:rsid w:val="00A3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A3"/>
  </w:style>
  <w:style w:type="paragraph" w:styleId="BalloonText">
    <w:name w:val="Balloon Text"/>
    <w:basedOn w:val="Normal"/>
    <w:link w:val="BalloonTextChar"/>
    <w:uiPriority w:val="99"/>
    <w:semiHidden/>
    <w:unhideWhenUsed/>
    <w:rsid w:val="00A35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C86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484C86"/>
    <w:pPr>
      <w:spacing w:line="312" w:lineRule="auto"/>
      <w:ind w:left="720"/>
      <w:contextualSpacing/>
    </w:pPr>
    <w:rPr>
      <w:color w:val="1F497D" w:themeColor="text2"/>
      <w:lang w:eastAsia="ja-JP"/>
    </w:rPr>
  </w:style>
  <w:style w:type="paragraph" w:customStyle="1" w:styleId="default">
    <w:name w:val="default"/>
    <w:basedOn w:val="Normal"/>
    <w:rsid w:val="00484C86"/>
  </w:style>
  <w:style w:type="paragraph" w:customStyle="1" w:styleId="Default0">
    <w:name w:val="Default"/>
    <w:rsid w:val="00484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2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2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2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26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53AE3"/>
    <w:pPr>
      <w:spacing w:before="100" w:beforeAutospacing="1" w:after="100" w:afterAutospacing="1"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4B2E04"/>
    <w:rPr>
      <w:color w:val="808080"/>
    </w:rPr>
  </w:style>
  <w:style w:type="character" w:customStyle="1" w:styleId="apple-converted-space">
    <w:name w:val="apple-converted-space"/>
    <w:basedOn w:val="DefaultParagraphFont"/>
    <w:rsid w:val="005D64E2"/>
  </w:style>
  <w:style w:type="character" w:styleId="Emphasis">
    <w:name w:val="Emphasis"/>
    <w:basedOn w:val="DefaultParagraphFont"/>
    <w:uiPriority w:val="20"/>
    <w:qFormat/>
    <w:rsid w:val="005D64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ue.data.gov.bc.ca/dataset/natural-resource-sector-majorprojects-points" TargetMode="External"/><Relationship Id="rId18" Type="http://schemas.openxmlformats.org/officeDocument/2006/relationships/hyperlink" Target="https://bc.lung.ca/sites/default/files/media/1001-State%20Of%20The%20Air%202016_Web_rev10252016_0.pdf" TargetMode="External"/><Relationship Id="rId26" Type="http://schemas.openxmlformats.org/officeDocument/2006/relationships/hyperlink" Target="http://www.bccpa.ca/CpaBc/media/CPABC/News_Events_Publications/Publications/CPABC%20Check-Up/2013%20and%20earlier/reg_nech_2006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raserbasin.bc.ca/_Library/UFR/Nechako_Watershed_Strategy-31Oct2016-FINAL.pdf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for.gov.bc.ca/ftp/hts/external/!publish/consolidated_cutblocks/" TargetMode="External"/><Relationship Id="rId17" Type="http://schemas.openxmlformats.org/officeDocument/2006/relationships/hyperlink" Target="http://www.plan2adapt.ca/tools/planners?pr=2&amp;ts=8&amp;toy=16" TargetMode="External"/><Relationship Id="rId25" Type="http://schemas.openxmlformats.org/officeDocument/2006/relationships/hyperlink" Target="https://www.workbc.ca/Labour-Market-Information/Regional-Profiles/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mpr.gov.bc.ca/Mining/Geoscience/MapPlace/geoData/Pages/default.aspx" TargetMode="External"/><Relationship Id="rId20" Type="http://schemas.openxmlformats.org/officeDocument/2006/relationships/hyperlink" Target="http://www.fraserbasin.bc.ca/_Library/Water_BCWF/Nechako-Mar31-2015_FINAL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ue.data.gov.bc.ca/dataset/range-tenure" TargetMode="External"/><Relationship Id="rId24" Type="http://schemas.openxmlformats.org/officeDocument/2006/relationships/hyperlink" Target="http://www.bcauditor.com/sites/default/files/publications/reports/OAGBC%20Cumulative%20Effects%20FINAL.pdf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catalogue.data.gov.bc.ca/dataset/first-nationcommunity-locations/resource/7b9fcb21-ea43-46b1-a4e6-45c241bc6a88" TargetMode="External"/><Relationship Id="rId23" Type="http://schemas.openxmlformats.org/officeDocument/2006/relationships/hyperlink" Target="http://www2.gov.bc.ca/assets/gov/farming-natural-resources-and-industry/agriculture-and-seafood/statistics/census/aginbrief_bulkley-nechako.pdf" TargetMode="External"/><Relationship Id="rId28" Type="http://schemas.openxmlformats.org/officeDocument/2006/relationships/hyperlink" Target="http://bchealthycommunities.ca/res/download.php?id=1818" TargetMode="External"/><Relationship Id="rId10" Type="http://schemas.openxmlformats.org/officeDocument/2006/relationships/hyperlink" Target="https://catalogue.data.gov.bc.ca/dataset/alc-agricultural-land-reserve-lines" TargetMode="External"/><Relationship Id="rId19" Type="http://schemas.openxmlformats.org/officeDocument/2006/relationships/hyperlink" Target="http://cleanairplan.ca/cleanairplan2012.pdf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data-bcogc.opendata.arcgis.com/" TargetMode="External"/><Relationship Id="rId14" Type="http://schemas.openxmlformats.org/officeDocument/2006/relationships/hyperlink" Target="http://www.intactforests.org/data.ifl.html" TargetMode="External"/><Relationship Id="rId22" Type="http://schemas.openxmlformats.org/officeDocument/2006/relationships/hyperlink" Target="http://www.rdbn.bc.ca/images/pdf/planning/AgriculturePlan/Agriculture_Plan.pdf" TargetMode="External"/><Relationship Id="rId27" Type="http://schemas.openxmlformats.org/officeDocument/2006/relationships/hyperlink" Target="http://bcnpha.ca/wp_bcnpha/wp-content/uploads/2012/09/51_Bulkley-Nechako_1209211.pdf" TargetMode="External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7CC7D-7254-474E-8747-9A4D6FCE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2018-01-15T20:58:00Z</cp:lastPrinted>
  <dcterms:created xsi:type="dcterms:W3CDTF">2019-07-26T17:32:00Z</dcterms:created>
  <dcterms:modified xsi:type="dcterms:W3CDTF">2019-07-26T17:34:00Z</dcterms:modified>
</cp:coreProperties>
</file>